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3EF" w:rsidRPr="000B0F4E" w:rsidRDefault="00EA5AA3" w:rsidP="00E241DA">
      <w:pPr>
        <w:spacing w:after="0" w:line="480" w:lineRule="auto"/>
        <w:rPr>
          <w:b/>
          <w:sz w:val="28"/>
        </w:rPr>
      </w:pPr>
      <w:r>
        <w:rPr>
          <w:b/>
          <w:sz w:val="28"/>
        </w:rPr>
        <w:t>P</w:t>
      </w:r>
      <w:r w:rsidR="00525855">
        <w:rPr>
          <w:b/>
          <w:sz w:val="28"/>
        </w:rPr>
        <w:t>rinted paper and board food contact materials as a potential source of food contamination</w:t>
      </w:r>
      <w:r w:rsidR="00676030">
        <w:rPr>
          <w:b/>
          <w:sz w:val="28"/>
        </w:rPr>
        <w:t xml:space="preserve"> </w:t>
      </w:r>
    </w:p>
    <w:p w:rsidR="00331E5C" w:rsidRDefault="00331E5C" w:rsidP="00E241DA">
      <w:pPr>
        <w:spacing w:after="0" w:line="480" w:lineRule="auto"/>
        <w:rPr>
          <w:b/>
          <w:u w:val="single"/>
        </w:rPr>
      </w:pPr>
    </w:p>
    <w:p w:rsidR="000B0F4E" w:rsidRPr="003F5C4F" w:rsidRDefault="000B0F4E" w:rsidP="00E241DA">
      <w:pPr>
        <w:spacing w:after="0" w:line="480" w:lineRule="auto"/>
        <w:rPr>
          <w:sz w:val="24"/>
          <w:lang w:val="nl-NL"/>
        </w:rPr>
      </w:pPr>
      <w:r w:rsidRPr="003F5C4F">
        <w:rPr>
          <w:sz w:val="24"/>
          <w:lang w:val="nl-NL"/>
        </w:rPr>
        <w:t xml:space="preserve">Melissa Van </w:t>
      </w:r>
      <w:proofErr w:type="spellStart"/>
      <w:r w:rsidRPr="003F5C4F">
        <w:rPr>
          <w:sz w:val="24"/>
          <w:lang w:val="nl-NL"/>
        </w:rPr>
        <w:t>Bossuyt</w:t>
      </w:r>
      <w:r w:rsidR="004E6C98">
        <w:rPr>
          <w:sz w:val="24"/>
          <w:vertAlign w:val="superscript"/>
          <w:lang w:val="nl-NL"/>
        </w:rPr>
        <w:t>a</w:t>
      </w:r>
      <w:r w:rsidRPr="003F5C4F">
        <w:rPr>
          <w:sz w:val="24"/>
          <w:vertAlign w:val="superscript"/>
          <w:lang w:val="nl-NL"/>
        </w:rPr>
        <w:t>,</w:t>
      </w:r>
      <w:r w:rsidR="004E6C98">
        <w:rPr>
          <w:sz w:val="24"/>
          <w:vertAlign w:val="superscript"/>
          <w:lang w:val="nl-NL"/>
        </w:rPr>
        <w:t>b</w:t>
      </w:r>
      <w:proofErr w:type="spellEnd"/>
      <w:r w:rsidRPr="003F5C4F">
        <w:rPr>
          <w:sz w:val="24"/>
          <w:vertAlign w:val="superscript"/>
          <w:lang w:val="nl-NL"/>
        </w:rPr>
        <w:t>*</w:t>
      </w:r>
      <w:r w:rsidRPr="003F5C4F">
        <w:rPr>
          <w:sz w:val="24"/>
          <w:lang w:val="nl-NL"/>
        </w:rPr>
        <w:t xml:space="preserve">, </w:t>
      </w:r>
      <w:r w:rsidR="00025D23" w:rsidRPr="003F5C4F">
        <w:rPr>
          <w:sz w:val="24"/>
          <w:lang w:val="nl-NL"/>
        </w:rPr>
        <w:t xml:space="preserve">Els Van </w:t>
      </w:r>
      <w:proofErr w:type="spellStart"/>
      <w:r w:rsidR="00025D23" w:rsidRPr="003F5C4F">
        <w:rPr>
          <w:sz w:val="24"/>
          <w:lang w:val="nl-NL"/>
        </w:rPr>
        <w:t>Hoeck</w:t>
      </w:r>
      <w:r w:rsidR="004E6C98">
        <w:rPr>
          <w:sz w:val="24"/>
          <w:vertAlign w:val="superscript"/>
          <w:lang w:val="nl-NL"/>
        </w:rPr>
        <w:t>a</w:t>
      </w:r>
      <w:proofErr w:type="spellEnd"/>
      <w:r w:rsidR="00025D23" w:rsidRPr="003F5C4F">
        <w:rPr>
          <w:sz w:val="24"/>
          <w:lang w:val="nl-NL"/>
        </w:rPr>
        <w:t xml:space="preserve">, </w:t>
      </w:r>
      <w:r w:rsidR="005442DE" w:rsidRPr="003F5C4F">
        <w:rPr>
          <w:sz w:val="24"/>
          <w:lang w:val="nl-NL"/>
        </w:rPr>
        <w:t xml:space="preserve">Tamara </w:t>
      </w:r>
      <w:proofErr w:type="spellStart"/>
      <w:r w:rsidR="005442DE" w:rsidRPr="003F5C4F">
        <w:rPr>
          <w:sz w:val="24"/>
          <w:lang w:val="nl-NL"/>
        </w:rPr>
        <w:t>Vanhaecke</w:t>
      </w:r>
      <w:r w:rsidR="004E6C98">
        <w:rPr>
          <w:sz w:val="24"/>
          <w:vertAlign w:val="superscript"/>
          <w:lang w:val="nl-NL"/>
        </w:rPr>
        <w:t>b</w:t>
      </w:r>
      <w:proofErr w:type="spellEnd"/>
      <w:r w:rsidR="007056D0" w:rsidRPr="003F5C4F">
        <w:rPr>
          <w:sz w:val="24"/>
          <w:lang w:val="nl-NL"/>
        </w:rPr>
        <w:t>,</w:t>
      </w:r>
      <w:r w:rsidR="00A04F94" w:rsidRPr="003F5C4F">
        <w:rPr>
          <w:sz w:val="24"/>
          <w:lang w:val="nl-NL"/>
        </w:rPr>
        <w:t xml:space="preserve"> Vera </w:t>
      </w:r>
      <w:proofErr w:type="spellStart"/>
      <w:r w:rsidR="00A04F94" w:rsidRPr="003F5C4F">
        <w:rPr>
          <w:sz w:val="24"/>
          <w:lang w:val="nl-NL"/>
        </w:rPr>
        <w:t>Rogiers</w:t>
      </w:r>
      <w:r w:rsidR="004E6C98">
        <w:rPr>
          <w:sz w:val="24"/>
          <w:vertAlign w:val="superscript"/>
          <w:lang w:val="nl-NL"/>
        </w:rPr>
        <w:t>b</w:t>
      </w:r>
      <w:proofErr w:type="spellEnd"/>
      <w:r w:rsidR="00A04F94" w:rsidRPr="003F5C4F">
        <w:rPr>
          <w:sz w:val="24"/>
          <w:vertAlign w:val="superscript"/>
          <w:lang w:val="nl-NL"/>
        </w:rPr>
        <w:t>°</w:t>
      </w:r>
      <w:r w:rsidR="00A04F94" w:rsidRPr="003F5C4F">
        <w:rPr>
          <w:sz w:val="24"/>
          <w:lang w:val="nl-NL"/>
        </w:rPr>
        <w:t xml:space="preserve"> </w:t>
      </w:r>
      <w:proofErr w:type="spellStart"/>
      <w:r w:rsidR="00A04F94" w:rsidRPr="003F5C4F">
        <w:rPr>
          <w:sz w:val="24"/>
          <w:lang w:val="nl-NL"/>
        </w:rPr>
        <w:t>and</w:t>
      </w:r>
      <w:proofErr w:type="spellEnd"/>
      <w:r w:rsidR="00A04F94" w:rsidRPr="003F5C4F">
        <w:rPr>
          <w:sz w:val="24"/>
          <w:lang w:val="nl-NL"/>
        </w:rPr>
        <w:t xml:space="preserve"> Birgit </w:t>
      </w:r>
      <w:proofErr w:type="spellStart"/>
      <w:r w:rsidR="00A04F94" w:rsidRPr="003F5C4F">
        <w:rPr>
          <w:sz w:val="24"/>
          <w:lang w:val="nl-NL"/>
        </w:rPr>
        <w:t>Mertens</w:t>
      </w:r>
      <w:r w:rsidR="004E6C98">
        <w:rPr>
          <w:sz w:val="24"/>
          <w:vertAlign w:val="superscript"/>
          <w:lang w:val="nl-NL"/>
        </w:rPr>
        <w:t>a</w:t>
      </w:r>
      <w:proofErr w:type="spellEnd"/>
      <w:r w:rsidR="00A04F94" w:rsidRPr="003F5C4F">
        <w:rPr>
          <w:sz w:val="24"/>
          <w:vertAlign w:val="superscript"/>
          <w:lang w:val="nl-NL"/>
        </w:rPr>
        <w:t>°</w:t>
      </w:r>
    </w:p>
    <w:p w:rsidR="00025D23" w:rsidRPr="003F5C4F" w:rsidRDefault="00025D23" w:rsidP="00E241DA">
      <w:pPr>
        <w:spacing w:after="0" w:line="480" w:lineRule="auto"/>
        <w:rPr>
          <w:lang w:val="nl-NL"/>
        </w:rPr>
      </w:pPr>
    </w:p>
    <w:p w:rsidR="00025D23" w:rsidRDefault="004E6C98" w:rsidP="00E241DA">
      <w:pPr>
        <w:spacing w:after="0" w:line="480" w:lineRule="auto"/>
        <w:rPr>
          <w:i/>
        </w:rPr>
      </w:pPr>
      <w:r w:rsidRPr="004E6C98">
        <w:rPr>
          <w:i/>
          <w:vertAlign w:val="superscript"/>
        </w:rPr>
        <w:t>a</w:t>
      </w:r>
      <w:r w:rsidR="00025D23">
        <w:rPr>
          <w:i/>
        </w:rPr>
        <w:t xml:space="preserve"> </w:t>
      </w:r>
      <w:r w:rsidR="00E241DA">
        <w:rPr>
          <w:i/>
        </w:rPr>
        <w:t>Department of</w:t>
      </w:r>
      <w:r w:rsidR="00025D23">
        <w:rPr>
          <w:i/>
        </w:rPr>
        <w:t xml:space="preserve"> Food, Medicines and Consumer Safety, Scientific Institute </w:t>
      </w:r>
      <w:r w:rsidR="00E241DA">
        <w:rPr>
          <w:i/>
        </w:rPr>
        <w:t>of</w:t>
      </w:r>
      <w:r w:rsidR="00025D23">
        <w:rPr>
          <w:i/>
        </w:rPr>
        <w:t xml:space="preserve"> Public Health, Juliette </w:t>
      </w:r>
      <w:proofErr w:type="spellStart"/>
      <w:r w:rsidR="00025D23">
        <w:rPr>
          <w:i/>
        </w:rPr>
        <w:t>Wytsmanstraat</w:t>
      </w:r>
      <w:proofErr w:type="spellEnd"/>
      <w:r w:rsidR="00025D23">
        <w:rPr>
          <w:i/>
        </w:rPr>
        <w:t xml:space="preserve"> 14, Brussels, Belgium</w:t>
      </w:r>
    </w:p>
    <w:p w:rsidR="00025D23" w:rsidRPr="00025D23" w:rsidRDefault="004E6C98" w:rsidP="00E241DA">
      <w:pPr>
        <w:spacing w:after="0" w:line="480" w:lineRule="auto"/>
        <w:rPr>
          <w:i/>
        </w:rPr>
      </w:pPr>
      <w:r>
        <w:rPr>
          <w:i/>
          <w:vertAlign w:val="superscript"/>
        </w:rPr>
        <w:t>b</w:t>
      </w:r>
      <w:r w:rsidR="00025D23">
        <w:rPr>
          <w:i/>
        </w:rPr>
        <w:t xml:space="preserve"> Department of In Vitro Toxicology and </w:t>
      </w:r>
      <w:proofErr w:type="spellStart"/>
      <w:r w:rsidR="00025D23">
        <w:rPr>
          <w:i/>
        </w:rPr>
        <w:t>Dermato</w:t>
      </w:r>
      <w:proofErr w:type="spellEnd"/>
      <w:r w:rsidR="00025D23">
        <w:rPr>
          <w:i/>
        </w:rPr>
        <w:t xml:space="preserve">-cosmetology, </w:t>
      </w:r>
      <w:proofErr w:type="spellStart"/>
      <w:r w:rsidR="00025D23">
        <w:rPr>
          <w:i/>
        </w:rPr>
        <w:t>Vrije</w:t>
      </w:r>
      <w:proofErr w:type="spellEnd"/>
      <w:r w:rsidR="00025D23">
        <w:rPr>
          <w:i/>
        </w:rPr>
        <w:t xml:space="preserve"> </w:t>
      </w:r>
      <w:proofErr w:type="spellStart"/>
      <w:r w:rsidR="00025D23">
        <w:rPr>
          <w:i/>
        </w:rPr>
        <w:t>Universiteit</w:t>
      </w:r>
      <w:proofErr w:type="spellEnd"/>
      <w:r w:rsidR="00025D23">
        <w:rPr>
          <w:i/>
        </w:rPr>
        <w:t xml:space="preserve"> </w:t>
      </w:r>
      <w:proofErr w:type="spellStart"/>
      <w:r w:rsidR="00025D23">
        <w:rPr>
          <w:i/>
        </w:rPr>
        <w:t>Brussel</w:t>
      </w:r>
      <w:proofErr w:type="spellEnd"/>
      <w:r w:rsidR="00025D23">
        <w:rPr>
          <w:i/>
        </w:rPr>
        <w:t xml:space="preserve">, </w:t>
      </w:r>
      <w:proofErr w:type="spellStart"/>
      <w:r w:rsidR="00025D23">
        <w:rPr>
          <w:i/>
        </w:rPr>
        <w:t>Laarbeeklaan</w:t>
      </w:r>
      <w:proofErr w:type="spellEnd"/>
      <w:r w:rsidR="00025D23">
        <w:rPr>
          <w:i/>
        </w:rPr>
        <w:t xml:space="preserve"> 103, Brussels, Belgium</w:t>
      </w:r>
    </w:p>
    <w:p w:rsidR="00025D23" w:rsidRDefault="00025D23" w:rsidP="00E241DA">
      <w:pPr>
        <w:spacing w:after="0" w:line="480" w:lineRule="auto"/>
      </w:pPr>
    </w:p>
    <w:p w:rsidR="000B0F4E" w:rsidRPr="00025D23" w:rsidRDefault="000B0F4E" w:rsidP="00E241DA">
      <w:pPr>
        <w:spacing w:after="0" w:line="480" w:lineRule="auto"/>
        <w:rPr>
          <w:sz w:val="24"/>
        </w:rPr>
      </w:pPr>
      <w:r w:rsidRPr="00025D23">
        <w:rPr>
          <w:sz w:val="24"/>
        </w:rPr>
        <w:t>° Equally contributing authors</w:t>
      </w:r>
    </w:p>
    <w:p w:rsidR="00DD54DC" w:rsidRPr="00DD54DC" w:rsidRDefault="000B0F4E" w:rsidP="00E241DA">
      <w:pPr>
        <w:spacing w:after="0" w:line="480" w:lineRule="auto"/>
        <w:rPr>
          <w:sz w:val="24"/>
        </w:rPr>
      </w:pPr>
      <w:r w:rsidRPr="00025D23">
        <w:rPr>
          <w:sz w:val="24"/>
        </w:rPr>
        <w:t>*</w:t>
      </w:r>
      <w:r w:rsidRPr="00025D23">
        <w:rPr>
          <w:i/>
          <w:sz w:val="24"/>
        </w:rPr>
        <w:t xml:space="preserve"> </w:t>
      </w:r>
      <w:r w:rsidRPr="00025D23">
        <w:rPr>
          <w:sz w:val="24"/>
        </w:rPr>
        <w:t xml:space="preserve">Corresponding author. </w:t>
      </w:r>
      <w:r w:rsidRPr="00025D23">
        <w:rPr>
          <w:i/>
          <w:sz w:val="24"/>
        </w:rPr>
        <w:t>E-mail address:</w:t>
      </w:r>
      <w:r w:rsidR="00DD54DC">
        <w:rPr>
          <w:sz w:val="24"/>
        </w:rPr>
        <w:t xml:space="preserve"> Melissa.VanBossuyt@wiv-isp.be</w:t>
      </w:r>
    </w:p>
    <w:p w:rsidR="00DD54DC" w:rsidRDefault="00DD54DC" w:rsidP="00E241DA">
      <w:pPr>
        <w:spacing w:after="0" w:line="480" w:lineRule="auto"/>
        <w:rPr>
          <w:b/>
          <w:sz w:val="24"/>
          <w:highlight w:val="yellow"/>
        </w:rPr>
        <w:sectPr w:rsidR="00DD54DC" w:rsidSect="00C61D10">
          <w:footerReference w:type="default" r:id="rId9"/>
          <w:pgSz w:w="11906" w:h="16838"/>
          <w:pgMar w:top="1440" w:right="1440" w:bottom="1440" w:left="1440" w:header="708" w:footer="708" w:gutter="0"/>
          <w:lnNumType w:countBy="1" w:restart="continuous"/>
          <w:cols w:space="708"/>
          <w:docGrid w:linePitch="360"/>
        </w:sectPr>
      </w:pPr>
    </w:p>
    <w:p w:rsidR="008E74D1" w:rsidRPr="00EA37F5" w:rsidRDefault="008E74D1" w:rsidP="008E74D1">
      <w:pPr>
        <w:spacing w:after="0" w:line="480" w:lineRule="auto"/>
        <w:rPr>
          <w:b/>
          <w:sz w:val="24"/>
        </w:rPr>
      </w:pPr>
      <w:r w:rsidRPr="00433060">
        <w:rPr>
          <w:b/>
          <w:sz w:val="24"/>
        </w:rPr>
        <w:lastRenderedPageBreak/>
        <w:t>Abstract</w:t>
      </w:r>
      <w:r w:rsidRPr="00EA37F5">
        <w:rPr>
          <w:b/>
          <w:sz w:val="24"/>
        </w:rPr>
        <w:t xml:space="preserve">  </w:t>
      </w:r>
    </w:p>
    <w:p w:rsidR="008E74D1" w:rsidRPr="008E74D1" w:rsidRDefault="008E74D1" w:rsidP="008E74D1">
      <w:pPr>
        <w:spacing w:after="0" w:line="480" w:lineRule="auto"/>
        <w:jc w:val="both"/>
      </w:pPr>
      <w:r w:rsidRPr="00BF743A">
        <w:t>Food contact materials (FCM)</w:t>
      </w:r>
      <w:r>
        <w:t xml:space="preserve"> are estimated to be the largest source of food contamination. Apart from p</w:t>
      </w:r>
      <w:r w:rsidRPr="00713B5C">
        <w:t>lastics</w:t>
      </w:r>
      <w:r>
        <w:t xml:space="preserve">, the most commonly used FCM are made of printed paper and board. Unlike their plastic counterparts, these are not covered by a specific European regulation. </w:t>
      </w:r>
      <w:r w:rsidRPr="008E74D1">
        <w:t xml:space="preserve">Several contamination issues have raised concerns towards potential adverse health effects caused by exposure to substances migrating from printed paper and board FCM. In the current study, an inventory combining the substances which may be used in printed paper and board FCM, was created. More than 6000 unique compounds were identified, the majority (77%) considered non-evaluated in terms of potential toxicity. Based on a preliminary study of their physicochemical properties, it is estimated that most of the non-evaluated single substances have the potential to migrate into the food and become bioavailable after oral intake. Almost all are included in the FACET tool, indicating that their use in primary food packaging has been confirmed by industry. Importantly, 19 substances are also present in one of the lists with substances of concern compiled by the European Chemicals Agency (ECHA). To ensure consumer safety, the actual use of these substances in printed paper and board FCM should be investigated urgently. </w:t>
      </w:r>
    </w:p>
    <w:p w:rsidR="008E74D1" w:rsidRPr="008E74D1" w:rsidRDefault="008E74D1" w:rsidP="008E74D1">
      <w:pPr>
        <w:spacing w:after="0" w:line="480" w:lineRule="auto"/>
        <w:jc w:val="both"/>
      </w:pPr>
    </w:p>
    <w:p w:rsidR="008E74D1" w:rsidRPr="008E74D1" w:rsidRDefault="008E74D1" w:rsidP="008E74D1">
      <w:pPr>
        <w:spacing w:after="0" w:line="480" w:lineRule="auto"/>
        <w:jc w:val="both"/>
        <w:rPr>
          <w:b/>
          <w:sz w:val="24"/>
        </w:rPr>
      </w:pPr>
      <w:r w:rsidRPr="008E74D1">
        <w:rPr>
          <w:b/>
          <w:sz w:val="24"/>
        </w:rPr>
        <w:t>Keywords</w:t>
      </w:r>
    </w:p>
    <w:p w:rsidR="008E74D1" w:rsidRPr="00872360" w:rsidRDefault="008E74D1" w:rsidP="008E74D1">
      <w:pPr>
        <w:spacing w:after="0" w:line="480" w:lineRule="auto"/>
      </w:pPr>
      <w:r w:rsidRPr="008E74D1">
        <w:t>Food contact materials; printing inks; paper and board; food contamination; prioritisation</w:t>
      </w:r>
    </w:p>
    <w:p w:rsidR="008E74D1" w:rsidRDefault="008E74D1" w:rsidP="00E241DA">
      <w:pPr>
        <w:spacing w:after="0" w:line="480" w:lineRule="auto"/>
        <w:rPr>
          <w:b/>
          <w:sz w:val="24"/>
        </w:rPr>
        <w:sectPr w:rsidR="008E74D1" w:rsidSect="00C61D10">
          <w:pgSz w:w="11906" w:h="16838"/>
          <w:pgMar w:top="1440" w:right="1440" w:bottom="1440" w:left="1440" w:header="708" w:footer="708" w:gutter="0"/>
          <w:lnNumType w:countBy="1" w:restart="continuous"/>
          <w:cols w:space="708"/>
          <w:docGrid w:linePitch="360"/>
        </w:sectPr>
      </w:pPr>
    </w:p>
    <w:p w:rsidR="00331E5C" w:rsidRPr="00DD1481" w:rsidRDefault="003D2E75" w:rsidP="00E241DA">
      <w:pPr>
        <w:spacing w:after="0" w:line="480" w:lineRule="auto"/>
        <w:rPr>
          <w:b/>
          <w:sz w:val="24"/>
        </w:rPr>
      </w:pPr>
      <w:r w:rsidRPr="00DD1481">
        <w:rPr>
          <w:b/>
          <w:sz w:val="24"/>
        </w:rPr>
        <w:lastRenderedPageBreak/>
        <w:t>Abbreviations</w:t>
      </w:r>
    </w:p>
    <w:p w:rsidR="00467AB6" w:rsidRDefault="00467AB6" w:rsidP="00764715">
      <w:pPr>
        <w:spacing w:after="0" w:line="480" w:lineRule="auto"/>
        <w:jc w:val="both"/>
      </w:pPr>
      <w:r>
        <w:t>4MBP</w:t>
      </w:r>
      <w:r w:rsidR="00185306">
        <w:t>,</w:t>
      </w:r>
      <w:r>
        <w:t xml:space="preserve"> 4-methylbenzophenone</w:t>
      </w:r>
      <w:r w:rsidR="00185306">
        <w:t xml:space="preserve">; </w:t>
      </w:r>
      <w:r w:rsidR="009F3366">
        <w:t xml:space="preserve">CEPI, Confederation of European Paper Industries; </w:t>
      </w:r>
      <w:r w:rsidR="00335743" w:rsidRPr="00335743">
        <w:t>CLP, Classification, Labelling and Packaging;</w:t>
      </w:r>
      <w:r w:rsidR="00335743">
        <w:t xml:space="preserve"> </w:t>
      </w:r>
      <w:r w:rsidR="0023180A" w:rsidRPr="00335743">
        <w:t xml:space="preserve">CMR, Carcinogenic, Mutagenic or </w:t>
      </w:r>
      <w:proofErr w:type="spellStart"/>
      <w:r w:rsidR="0023180A" w:rsidRPr="00335743">
        <w:t>Reprotoxic</w:t>
      </w:r>
      <w:proofErr w:type="spellEnd"/>
      <w:r w:rsidR="0023180A" w:rsidRPr="00335743">
        <w:t xml:space="preserve"> substances; </w:t>
      </w:r>
      <w:r w:rsidR="009F3366" w:rsidRPr="00335743">
        <w:t xml:space="preserve">COC, chemicals of concern; </w:t>
      </w:r>
      <w:proofErr w:type="spellStart"/>
      <w:r w:rsidR="00185306" w:rsidRPr="00335743">
        <w:t>CoE</w:t>
      </w:r>
      <w:proofErr w:type="spellEnd"/>
      <w:r w:rsidR="00185306" w:rsidRPr="00335743">
        <w:t>,</w:t>
      </w:r>
      <w:r w:rsidR="00850EB9" w:rsidRPr="00335743">
        <w:t xml:space="preserve"> Council of Europe</w:t>
      </w:r>
      <w:r w:rsidR="00185306" w:rsidRPr="00335743">
        <w:t xml:space="preserve">; </w:t>
      </w:r>
      <w:proofErr w:type="spellStart"/>
      <w:r w:rsidR="007B2C25" w:rsidRPr="00335743">
        <w:t>CoRAP</w:t>
      </w:r>
      <w:proofErr w:type="spellEnd"/>
      <w:r w:rsidR="007B2C25" w:rsidRPr="00335743">
        <w:t xml:space="preserve">, Community Rolling Action Plan; </w:t>
      </w:r>
      <w:r w:rsidR="00185306" w:rsidRPr="00335743">
        <w:t>EC,</w:t>
      </w:r>
      <w:r w:rsidR="00BD27A7" w:rsidRPr="00335743">
        <w:t xml:space="preserve"> Eu</w:t>
      </w:r>
      <w:r w:rsidR="00BD27A7">
        <w:t>ropean Commission</w:t>
      </w:r>
      <w:r w:rsidR="00185306">
        <w:t>; ECHA,</w:t>
      </w:r>
      <w:r w:rsidR="00DD1481">
        <w:t xml:space="preserve"> European Chemicals Agency</w:t>
      </w:r>
      <w:r w:rsidR="00185306">
        <w:t>; EFSA,</w:t>
      </w:r>
      <w:r w:rsidR="00DD1481">
        <w:t xml:space="preserve"> European Food Safety Authority</w:t>
      </w:r>
      <w:r w:rsidR="00185306">
        <w:t xml:space="preserve">; </w:t>
      </w:r>
      <w:r w:rsidR="001B7CB2">
        <w:t xml:space="preserve">EFTA, European Free Trade Association; </w:t>
      </w:r>
      <w:r w:rsidR="00850EB9">
        <w:t>ESCO</w:t>
      </w:r>
      <w:r w:rsidR="00185306">
        <w:t xml:space="preserve"> WG,</w:t>
      </w:r>
      <w:r w:rsidR="00850EB9">
        <w:t xml:space="preserve"> EFSA Scientific Cooperation Working Group</w:t>
      </w:r>
      <w:r w:rsidR="00185306">
        <w:t xml:space="preserve">; </w:t>
      </w:r>
      <w:proofErr w:type="spellStart"/>
      <w:r w:rsidR="00840BFA">
        <w:t>EuPIA</w:t>
      </w:r>
      <w:proofErr w:type="spellEnd"/>
      <w:r w:rsidR="00840BFA">
        <w:t xml:space="preserve">, European Printing Inks Association; </w:t>
      </w:r>
      <w:r w:rsidR="009F3366">
        <w:t xml:space="preserve">FACET, Flavourings, Additives, and food Contact materials Exposure Tool; </w:t>
      </w:r>
      <w:r w:rsidR="00DD1481">
        <w:t>FCM</w:t>
      </w:r>
      <w:r w:rsidR="00185306">
        <w:t>,</w:t>
      </w:r>
      <w:r w:rsidR="00DD1481">
        <w:t xml:space="preserve"> food contact materials</w:t>
      </w:r>
      <w:r w:rsidR="00185306">
        <w:t xml:space="preserve">; </w:t>
      </w:r>
      <w:r w:rsidR="007806F0">
        <w:t xml:space="preserve">FDA, Food and Drug Administration; </w:t>
      </w:r>
      <w:r w:rsidR="00185306">
        <w:t>ITX,</w:t>
      </w:r>
      <w:r>
        <w:t xml:space="preserve"> 2-isopropylthioxanthone</w:t>
      </w:r>
      <w:r w:rsidR="00185306">
        <w:t xml:space="preserve">; </w:t>
      </w:r>
      <w:r w:rsidR="00BD27A7">
        <w:t>NIAS</w:t>
      </w:r>
      <w:r w:rsidR="00764715">
        <w:t>,</w:t>
      </w:r>
      <w:r w:rsidR="00BD27A7">
        <w:t xml:space="preserve"> non-intentionally added substances</w:t>
      </w:r>
      <w:r w:rsidR="00764715">
        <w:t xml:space="preserve">; </w:t>
      </w:r>
      <w:r w:rsidR="007806F0">
        <w:t>OML, overall migration limit</w:t>
      </w:r>
      <w:r w:rsidR="007806F0" w:rsidRPr="00335743">
        <w:t xml:space="preserve">; </w:t>
      </w:r>
      <w:r w:rsidR="0076037B" w:rsidRPr="00335743">
        <w:t xml:space="preserve">PBT, Persistent, </w:t>
      </w:r>
      <w:proofErr w:type="spellStart"/>
      <w:r w:rsidR="0076037B" w:rsidRPr="00335743">
        <w:t>Bioaccumulative</w:t>
      </w:r>
      <w:proofErr w:type="spellEnd"/>
      <w:r w:rsidR="0076037B" w:rsidRPr="00335743">
        <w:t xml:space="preserve"> and Toxic substances; </w:t>
      </w:r>
      <w:r w:rsidR="00764715" w:rsidRPr="00335743">
        <w:t>RASFF,</w:t>
      </w:r>
      <w:r w:rsidRPr="00335743">
        <w:t xml:space="preserve"> Rapid Alert System for Food and Feed</w:t>
      </w:r>
      <w:r w:rsidR="007806F0" w:rsidRPr="00335743">
        <w:t xml:space="preserve">; </w:t>
      </w:r>
      <w:r w:rsidR="0023180A" w:rsidRPr="00335743">
        <w:t>RCR, Risk Characteri</w:t>
      </w:r>
      <w:r w:rsidR="00CB75F5" w:rsidRPr="00335743">
        <w:t>s</w:t>
      </w:r>
      <w:r w:rsidR="0023180A" w:rsidRPr="00335743">
        <w:t xml:space="preserve">ation Ratio; </w:t>
      </w:r>
      <w:r w:rsidR="00E13156" w:rsidRPr="00335743">
        <w:t xml:space="preserve">REACH, Registration, Evaluation, Authorisation and restriction of Chemicals; </w:t>
      </w:r>
      <w:r w:rsidR="007806F0" w:rsidRPr="00335743">
        <w:t>SML, specific migration limit</w:t>
      </w:r>
      <w:r w:rsidR="0076037B" w:rsidRPr="00335743">
        <w:t xml:space="preserve">; </w:t>
      </w:r>
      <w:r w:rsidR="00240D9C" w:rsidRPr="00335743">
        <w:t xml:space="preserve">SVHC, Substances of Very High Concern; </w:t>
      </w:r>
      <w:proofErr w:type="spellStart"/>
      <w:r w:rsidR="0076037B" w:rsidRPr="00335743">
        <w:t>vPvB</w:t>
      </w:r>
      <w:proofErr w:type="spellEnd"/>
      <w:r w:rsidR="0076037B" w:rsidRPr="00335743">
        <w:t xml:space="preserve">, very Persistent and very </w:t>
      </w:r>
      <w:proofErr w:type="spellStart"/>
      <w:r w:rsidR="0076037B" w:rsidRPr="00335743">
        <w:t>Bioaccumulative</w:t>
      </w:r>
      <w:proofErr w:type="spellEnd"/>
      <w:r w:rsidR="0076037B" w:rsidRPr="00335743">
        <w:t xml:space="preserve"> substances.</w:t>
      </w:r>
    </w:p>
    <w:p w:rsidR="00022647" w:rsidRDefault="00022647" w:rsidP="0087001D">
      <w:pPr>
        <w:spacing w:after="0" w:line="480" w:lineRule="auto"/>
        <w:rPr>
          <w:b/>
          <w:sz w:val="24"/>
        </w:rPr>
        <w:sectPr w:rsidR="00022647" w:rsidSect="00C61D10">
          <w:pgSz w:w="11906" w:h="16838"/>
          <w:pgMar w:top="1440" w:right="1440" w:bottom="1440" w:left="1440" w:header="708" w:footer="708" w:gutter="0"/>
          <w:lnNumType w:countBy="1" w:restart="continuous"/>
          <w:cols w:space="708"/>
          <w:docGrid w:linePitch="360"/>
        </w:sectPr>
      </w:pPr>
    </w:p>
    <w:p w:rsidR="00AB7F81" w:rsidRPr="0087001D" w:rsidRDefault="0087001D" w:rsidP="0087001D">
      <w:pPr>
        <w:spacing w:after="0" w:line="480" w:lineRule="auto"/>
        <w:rPr>
          <w:b/>
          <w:sz w:val="24"/>
        </w:rPr>
      </w:pPr>
      <w:r>
        <w:rPr>
          <w:b/>
          <w:sz w:val="24"/>
        </w:rPr>
        <w:lastRenderedPageBreak/>
        <w:t xml:space="preserve">1. </w:t>
      </w:r>
      <w:r w:rsidR="00331E5C" w:rsidRPr="0087001D">
        <w:rPr>
          <w:b/>
          <w:sz w:val="24"/>
        </w:rPr>
        <w:t>Introduction</w:t>
      </w:r>
      <w:r w:rsidR="00CB6D53" w:rsidRPr="0087001D">
        <w:rPr>
          <w:b/>
          <w:sz w:val="24"/>
        </w:rPr>
        <w:t xml:space="preserve"> </w:t>
      </w:r>
    </w:p>
    <w:p w:rsidR="00F375CB" w:rsidRDefault="00093481" w:rsidP="00315B6C">
      <w:pPr>
        <w:spacing w:after="0" w:line="480" w:lineRule="auto"/>
        <w:jc w:val="both"/>
      </w:pPr>
      <w:r>
        <w:t xml:space="preserve">Food contact </w:t>
      </w:r>
      <w:r w:rsidRPr="00BF743A">
        <w:t>materials (FCM</w:t>
      </w:r>
      <w:r>
        <w:t xml:space="preserve">) are defined </w:t>
      </w:r>
      <w:r w:rsidR="00B50AF3">
        <w:t xml:space="preserve">by the European Food Safety Authority (EFSA) </w:t>
      </w:r>
      <w:r>
        <w:t>as “all materials and articles intended to come into contact with food”</w:t>
      </w:r>
      <w:r w:rsidR="00B50AF3">
        <w:t xml:space="preserve">. </w:t>
      </w:r>
      <w:r w:rsidR="002A010A">
        <w:t>FCM</w:t>
      </w:r>
      <w:r w:rsidR="00516D9C">
        <w:t xml:space="preserve"> are</w:t>
      </w:r>
      <w:r w:rsidR="0059233A">
        <w:t xml:space="preserve"> thus</w:t>
      </w:r>
      <w:r w:rsidR="00516D9C">
        <w:t xml:space="preserve"> </w:t>
      </w:r>
      <w:r w:rsidR="002A010A">
        <w:t>routinely involved</w:t>
      </w:r>
      <w:r w:rsidR="00516D9C">
        <w:t xml:space="preserve"> </w:t>
      </w:r>
      <w:r w:rsidR="0059233A">
        <w:t>throughout</w:t>
      </w:r>
      <w:r w:rsidR="002A010A">
        <w:t xml:space="preserve"> the </w:t>
      </w:r>
      <w:r w:rsidR="00516D9C">
        <w:t>production, processing, packaging,</w:t>
      </w:r>
      <w:r w:rsidR="008A49D3">
        <w:t xml:space="preserve"> transport, storage,</w:t>
      </w:r>
      <w:r w:rsidR="00516D9C">
        <w:t xml:space="preserve"> preparation and serving</w:t>
      </w:r>
      <w:r w:rsidR="002A010A">
        <w:t xml:space="preserve"> of food and </w:t>
      </w:r>
      <w:r w:rsidR="004B4790">
        <w:t>beverages</w:t>
      </w:r>
      <w:r w:rsidR="00BF6D06">
        <w:t xml:space="preserve"> </w:t>
      </w:r>
      <w:r w:rsidR="00BF6D06" w:rsidRPr="00BF6D06">
        <w:t>(</w:t>
      </w:r>
      <w:r w:rsidR="00F9212F">
        <w:t xml:space="preserve">EFSA, 2015; </w:t>
      </w:r>
      <w:r w:rsidR="00FC7013">
        <w:t>European Union, 2015</w:t>
      </w:r>
      <w:r w:rsidR="00F9212F">
        <w:t>a</w:t>
      </w:r>
      <w:r w:rsidR="008A49D3">
        <w:t>)</w:t>
      </w:r>
      <w:r w:rsidR="002A010A">
        <w:t>.</w:t>
      </w:r>
      <w:r w:rsidR="0059233A">
        <w:t xml:space="preserve"> </w:t>
      </w:r>
      <w:r w:rsidR="00123A67">
        <w:t>Regulation</w:t>
      </w:r>
      <w:r w:rsidR="00252ED4">
        <w:t xml:space="preserve"> (EC) No</w:t>
      </w:r>
      <w:r w:rsidR="00123A67" w:rsidRPr="004B4790">
        <w:t xml:space="preserve"> 1935/2004 </w:t>
      </w:r>
      <w:r w:rsidR="00123A67">
        <w:t>depicts</w:t>
      </w:r>
      <w:r w:rsidR="00186C75">
        <w:t xml:space="preserve"> 17 </w:t>
      </w:r>
      <w:r w:rsidR="00992AC3">
        <w:t xml:space="preserve">FCM </w:t>
      </w:r>
      <w:r w:rsidR="00186C75">
        <w:t>groups</w:t>
      </w:r>
      <w:r w:rsidR="008F007E">
        <w:t xml:space="preserve"> </w:t>
      </w:r>
      <w:r w:rsidR="00BF6D06">
        <w:t xml:space="preserve">including plastics, paper and board, glass, but also printing inks, coatings and adhesives used in </w:t>
      </w:r>
      <w:r w:rsidR="00F23CDB">
        <w:t>product</w:t>
      </w:r>
      <w:r w:rsidR="00BF6D06">
        <w:t xml:space="preserve"> finishing</w:t>
      </w:r>
      <w:r w:rsidR="00F23CDB">
        <w:t xml:space="preserve">. </w:t>
      </w:r>
      <w:r w:rsidR="00B212F1">
        <w:t xml:space="preserve">They should </w:t>
      </w:r>
      <w:r w:rsidR="008F007E">
        <w:t xml:space="preserve">all </w:t>
      </w:r>
      <w:r w:rsidR="00B212F1">
        <w:t>be sufficiently inert</w:t>
      </w:r>
      <w:r w:rsidR="00F92C5A">
        <w:t xml:space="preserve">, </w:t>
      </w:r>
      <w:r w:rsidR="006C4079">
        <w:t>so</w:t>
      </w:r>
      <w:r w:rsidR="00E82004">
        <w:t xml:space="preserve"> </w:t>
      </w:r>
      <w:r w:rsidR="00637CE8">
        <w:t xml:space="preserve">that </w:t>
      </w:r>
      <w:r w:rsidR="00B212F1">
        <w:t>constituents</w:t>
      </w:r>
      <w:r w:rsidR="00E82004">
        <w:t xml:space="preserve"> </w:t>
      </w:r>
      <w:r w:rsidR="006C4079">
        <w:t>cannot exert</w:t>
      </w:r>
      <w:r w:rsidR="00637CE8">
        <w:t xml:space="preserve"> a</w:t>
      </w:r>
      <w:r w:rsidR="006C4079">
        <w:t>ny</w:t>
      </w:r>
      <w:r w:rsidR="00637CE8">
        <w:t xml:space="preserve"> negative effect</w:t>
      </w:r>
      <w:r w:rsidR="00B212F1">
        <w:t xml:space="preserve"> </w:t>
      </w:r>
      <w:r w:rsidR="006C4079">
        <w:t>n</w:t>
      </w:r>
      <w:r w:rsidR="00E82004">
        <w:t>either</w:t>
      </w:r>
      <w:r w:rsidR="00B212F1">
        <w:t xml:space="preserve"> </w:t>
      </w:r>
      <w:r w:rsidR="00637CE8">
        <w:t xml:space="preserve">on </w:t>
      </w:r>
      <w:r w:rsidR="00B212F1">
        <w:t xml:space="preserve">consumer health </w:t>
      </w:r>
      <w:r w:rsidR="006C4079">
        <w:t>n</w:t>
      </w:r>
      <w:r w:rsidR="00B212F1">
        <w:t xml:space="preserve">or </w:t>
      </w:r>
      <w:r w:rsidR="008F007E">
        <w:t xml:space="preserve">food quality </w:t>
      </w:r>
      <w:r w:rsidR="00B212F1">
        <w:t>(</w:t>
      </w:r>
      <w:r w:rsidR="00493BC7">
        <w:t>European Union, 2004</w:t>
      </w:r>
      <w:r w:rsidR="00CC153D">
        <w:t>)</w:t>
      </w:r>
      <w:r w:rsidR="00B212F1">
        <w:t xml:space="preserve">. </w:t>
      </w:r>
      <w:r w:rsidR="009D44DF">
        <w:t xml:space="preserve">Migration of FCM </w:t>
      </w:r>
      <w:r w:rsidR="00F15F67">
        <w:t>substances</w:t>
      </w:r>
      <w:r w:rsidR="00DF0C63">
        <w:t xml:space="preserve"> into food and subsequent </w:t>
      </w:r>
      <w:r w:rsidR="00C25622">
        <w:t xml:space="preserve">consumer </w:t>
      </w:r>
      <w:r w:rsidR="00DF0C63">
        <w:t>exposure has b</w:t>
      </w:r>
      <w:r w:rsidR="00DC1DAF">
        <w:t xml:space="preserve">een a concern since </w:t>
      </w:r>
      <w:r w:rsidR="00F92C5A">
        <w:t>several decades</w:t>
      </w:r>
      <w:r w:rsidR="00C25622">
        <w:t xml:space="preserve"> and</w:t>
      </w:r>
      <w:r w:rsidR="00A465A5">
        <w:t xml:space="preserve"> is estimated to be the largest source of food contamination, up to 100</w:t>
      </w:r>
      <w:r w:rsidR="000B0B44">
        <w:t>-1000</w:t>
      </w:r>
      <w:r w:rsidR="00A465A5">
        <w:t xml:space="preserve"> times higher than </w:t>
      </w:r>
      <w:r w:rsidR="00C77EB2">
        <w:t>contamination</w:t>
      </w:r>
      <w:r w:rsidR="00A465A5">
        <w:t xml:space="preserve"> originating from pesticide residues or environmental pollution </w:t>
      </w:r>
      <w:r w:rsidR="00F15F67">
        <w:t>(</w:t>
      </w:r>
      <w:proofErr w:type="spellStart"/>
      <w:r w:rsidR="00A33025">
        <w:t>Grob</w:t>
      </w:r>
      <w:proofErr w:type="spellEnd"/>
      <w:r w:rsidR="00A33025">
        <w:t xml:space="preserve"> et al., 2006</w:t>
      </w:r>
      <w:r w:rsidR="00DC1DAF">
        <w:t xml:space="preserve">). </w:t>
      </w:r>
    </w:p>
    <w:p w:rsidR="00EB6ED6" w:rsidRDefault="00E955BA" w:rsidP="00315B6C">
      <w:pPr>
        <w:spacing w:after="0" w:line="480" w:lineRule="auto"/>
        <w:jc w:val="both"/>
      </w:pPr>
      <w:r>
        <w:t>In the European Union, g</w:t>
      </w:r>
      <w:r w:rsidR="000B0B44">
        <w:t xml:space="preserve">eneral requirements for FCM </w:t>
      </w:r>
      <w:r w:rsidR="00C86C4F">
        <w:t>are described in Reg.</w:t>
      </w:r>
      <w:r w:rsidR="000B0B44" w:rsidRPr="004B4790">
        <w:t xml:space="preserve"> </w:t>
      </w:r>
      <w:r w:rsidR="00252ED4">
        <w:t xml:space="preserve">(EC) No </w:t>
      </w:r>
      <w:r w:rsidR="000B0B44" w:rsidRPr="004B4790">
        <w:t>1935/2004</w:t>
      </w:r>
      <w:r w:rsidR="000B0B44">
        <w:t>, but f</w:t>
      </w:r>
      <w:r w:rsidR="00F375CB">
        <w:t xml:space="preserve">ew </w:t>
      </w:r>
      <w:r w:rsidR="00B0470B">
        <w:t>harmonis</w:t>
      </w:r>
      <w:r w:rsidR="00C86C4F">
        <w:t>ed legislations</w:t>
      </w:r>
      <w:r w:rsidR="00F375CB">
        <w:t xml:space="preserve"> </w:t>
      </w:r>
      <w:r w:rsidR="0092609E">
        <w:t>exist</w:t>
      </w:r>
      <w:r w:rsidR="00F375CB">
        <w:t xml:space="preserve"> </w:t>
      </w:r>
      <w:r w:rsidR="00C86C4F">
        <w:t>for the</w:t>
      </w:r>
      <w:r w:rsidR="00F375CB">
        <w:t xml:space="preserve"> </w:t>
      </w:r>
      <w:r w:rsidR="00B27A56">
        <w:t>individual</w:t>
      </w:r>
      <w:r w:rsidR="000B0B44">
        <w:t xml:space="preserve"> </w:t>
      </w:r>
      <w:r w:rsidR="00525855">
        <w:t xml:space="preserve">FCM </w:t>
      </w:r>
      <w:r w:rsidR="00FD6E05">
        <w:t>type</w:t>
      </w:r>
      <w:r w:rsidR="0084245D">
        <w:t>s</w:t>
      </w:r>
      <w:r w:rsidR="00F375CB">
        <w:t xml:space="preserve">. </w:t>
      </w:r>
      <w:r>
        <w:t>T</w:t>
      </w:r>
      <w:r w:rsidR="00C86C4F">
        <w:t>argeted</w:t>
      </w:r>
      <w:r w:rsidR="00F375CB">
        <w:t xml:space="preserve"> regulations </w:t>
      </w:r>
      <w:r w:rsidR="004E6846">
        <w:t xml:space="preserve">or </w:t>
      </w:r>
      <w:r w:rsidR="00F375CB">
        <w:t xml:space="preserve">directives have </w:t>
      </w:r>
      <w:r>
        <w:t xml:space="preserve">so far only </w:t>
      </w:r>
      <w:r w:rsidR="00F375CB">
        <w:t xml:space="preserve">been established </w:t>
      </w:r>
      <w:r w:rsidR="006A0B22">
        <w:t>for</w:t>
      </w:r>
      <w:r w:rsidR="00F375CB">
        <w:t xml:space="preserve"> plastic</w:t>
      </w:r>
      <w:r w:rsidR="006A0B22">
        <w:t xml:space="preserve"> materials</w:t>
      </w:r>
      <w:r w:rsidR="00F375CB">
        <w:t xml:space="preserve"> </w:t>
      </w:r>
      <w:r w:rsidR="00572605">
        <w:t>[</w:t>
      </w:r>
      <w:r w:rsidR="00C86C4F">
        <w:t>Reg.</w:t>
      </w:r>
      <w:r w:rsidR="00252ED4">
        <w:t xml:space="preserve"> (EU) No</w:t>
      </w:r>
      <w:r w:rsidR="00C86C4F">
        <w:t xml:space="preserve"> 10/2011</w:t>
      </w:r>
      <w:r w:rsidR="00572605">
        <w:t>]</w:t>
      </w:r>
      <w:r w:rsidR="00CC153D">
        <w:t>(</w:t>
      </w:r>
      <w:r w:rsidR="00493BC7">
        <w:t>European Union, 2011</w:t>
      </w:r>
      <w:r w:rsidR="00F375CB">
        <w:t xml:space="preserve">), </w:t>
      </w:r>
      <w:r w:rsidR="006A0B22">
        <w:t>recycled plastic materials (</w:t>
      </w:r>
      <w:r w:rsidR="00493BC7">
        <w:t>European Union, 2008</w:t>
      </w:r>
      <w:r w:rsidR="00CC153D">
        <w:t>)</w:t>
      </w:r>
      <w:r w:rsidR="006A0B22">
        <w:t>, ceramics (</w:t>
      </w:r>
      <w:r w:rsidR="00493BC7">
        <w:t xml:space="preserve">European </w:t>
      </w:r>
      <w:r w:rsidR="00927112">
        <w:t>Communities</w:t>
      </w:r>
      <w:r w:rsidR="00493BC7">
        <w:t>, 1984</w:t>
      </w:r>
      <w:r w:rsidR="006A0B22">
        <w:t xml:space="preserve">), </w:t>
      </w:r>
      <w:r w:rsidR="00F375CB">
        <w:t>active and intelligent materials</w:t>
      </w:r>
      <w:r w:rsidR="007A05F4">
        <w:t xml:space="preserve"> (</w:t>
      </w:r>
      <w:r w:rsidR="00927112">
        <w:t>European Union, 2009</w:t>
      </w:r>
      <w:r w:rsidR="007A05F4">
        <w:t>)</w:t>
      </w:r>
      <w:r w:rsidR="00F375CB">
        <w:t xml:space="preserve"> and regenerated cellulose film</w:t>
      </w:r>
      <w:r w:rsidR="007A05F4">
        <w:t xml:space="preserve"> (</w:t>
      </w:r>
      <w:r w:rsidR="00214462">
        <w:t>European Union, 2007</w:t>
      </w:r>
      <w:r w:rsidR="007A05F4">
        <w:t>)</w:t>
      </w:r>
      <w:r w:rsidR="00F375CB">
        <w:t xml:space="preserve">. </w:t>
      </w:r>
      <w:r w:rsidR="00E02433">
        <w:t xml:space="preserve">This implies that </w:t>
      </w:r>
      <w:r w:rsidR="00BE3E12">
        <w:t>the vast majority of FCM</w:t>
      </w:r>
      <w:r w:rsidR="00E02433">
        <w:t xml:space="preserve"> is not subject to </w:t>
      </w:r>
      <w:r w:rsidR="00525855">
        <w:t xml:space="preserve">a specific </w:t>
      </w:r>
      <w:r w:rsidR="00E02433">
        <w:t>EU le</w:t>
      </w:r>
      <w:r w:rsidR="00525855">
        <w:t>gislation</w:t>
      </w:r>
      <w:r w:rsidR="00BE3E12">
        <w:t xml:space="preserve">. </w:t>
      </w:r>
      <w:r w:rsidR="0092609E">
        <w:t>Moreover, only Reg.</w:t>
      </w:r>
      <w:r w:rsidR="00252ED4">
        <w:t xml:space="preserve"> (EU) No</w:t>
      </w:r>
      <w:r w:rsidR="0092609E">
        <w:t xml:space="preserve"> 10/2011 on plastic FCM</w:t>
      </w:r>
      <w:r w:rsidR="002266FE">
        <w:t xml:space="preserve"> </w:t>
      </w:r>
      <w:r w:rsidR="0092609E">
        <w:t>comprises</w:t>
      </w:r>
      <w:r w:rsidR="00B55CDC">
        <w:t xml:space="preserve"> a Union List of authoris</w:t>
      </w:r>
      <w:r w:rsidR="002266FE">
        <w:t xml:space="preserve">ed substances. </w:t>
      </w:r>
      <w:r w:rsidR="00312DD9">
        <w:t>FCM legislation across the</w:t>
      </w:r>
      <w:r w:rsidR="0092609E">
        <w:t xml:space="preserve"> </w:t>
      </w:r>
      <w:r w:rsidR="0092609E" w:rsidRPr="00177D7E">
        <w:t>European</w:t>
      </w:r>
      <w:r w:rsidR="00467AB6" w:rsidRPr="00177D7E">
        <w:t xml:space="preserve"> </w:t>
      </w:r>
      <w:r w:rsidR="000E622E" w:rsidRPr="00177D7E">
        <w:t>M</w:t>
      </w:r>
      <w:r w:rsidR="00467AB6" w:rsidRPr="00177D7E">
        <w:t xml:space="preserve">ember </w:t>
      </w:r>
      <w:r w:rsidR="000E622E" w:rsidRPr="00177D7E">
        <w:t>S</w:t>
      </w:r>
      <w:r w:rsidR="00312DD9" w:rsidRPr="00177D7E">
        <w:t xml:space="preserve">tates is </w:t>
      </w:r>
      <w:r w:rsidR="00F4060D" w:rsidRPr="00177D7E">
        <w:t>diverg</w:t>
      </w:r>
      <w:r w:rsidR="0012264A" w:rsidRPr="00177D7E">
        <w:t>ent regarding both scope and</w:t>
      </w:r>
      <w:r w:rsidR="00F4060D" w:rsidRPr="00177D7E">
        <w:t xml:space="preserve"> limit settings. National legislation is in place in 19 M</w:t>
      </w:r>
      <w:r w:rsidR="000E622E" w:rsidRPr="00177D7E">
        <w:t xml:space="preserve">ember </w:t>
      </w:r>
      <w:r w:rsidR="00F4060D" w:rsidRPr="00177D7E">
        <w:t>S</w:t>
      </w:r>
      <w:r w:rsidR="000E622E" w:rsidRPr="00177D7E">
        <w:t>tates</w:t>
      </w:r>
      <w:r w:rsidR="00F4060D" w:rsidRPr="00177D7E">
        <w:t>, but</w:t>
      </w:r>
      <w:r w:rsidR="00F4060D">
        <w:t xml:space="preserve"> no</w:t>
      </w:r>
      <w:r w:rsidR="00FD6E05">
        <w:t>ne of these</w:t>
      </w:r>
      <w:r w:rsidR="00E673A5">
        <w:t xml:space="preserve"> </w:t>
      </w:r>
      <w:r w:rsidR="00F4060D">
        <w:t xml:space="preserve">cover all materials </w:t>
      </w:r>
      <w:r w:rsidR="0092609E">
        <w:t xml:space="preserve">and </w:t>
      </w:r>
      <w:r w:rsidR="00F4060D">
        <w:t xml:space="preserve">detailed requirements are </w:t>
      </w:r>
      <w:r w:rsidR="0092609E">
        <w:t xml:space="preserve">rarely </w:t>
      </w:r>
      <w:r w:rsidR="00FD6E05">
        <w:t xml:space="preserve">set </w:t>
      </w:r>
      <w:r w:rsidR="00D05C4A">
        <w:t>(</w:t>
      </w:r>
      <w:r w:rsidR="00DF3C9A">
        <w:t>European Union, 2012</w:t>
      </w:r>
      <w:r w:rsidR="00F9212F">
        <w:t xml:space="preserve"> and 2015b</w:t>
      </w:r>
      <w:r w:rsidR="00F4060D">
        <w:t xml:space="preserve">). </w:t>
      </w:r>
    </w:p>
    <w:p w:rsidR="00F34687" w:rsidRDefault="00E673A5" w:rsidP="00315B6C">
      <w:pPr>
        <w:spacing w:after="0" w:line="480" w:lineRule="auto"/>
        <w:jc w:val="both"/>
      </w:pPr>
      <w:r>
        <w:t xml:space="preserve">Whereas migration issues in the past were </w:t>
      </w:r>
      <w:r w:rsidR="00FF4012">
        <w:t>predominantly</w:t>
      </w:r>
      <w:r w:rsidR="008774F7">
        <w:t xml:space="preserve"> related</w:t>
      </w:r>
      <w:r w:rsidR="00654AD8">
        <w:t xml:space="preserve"> to plastic</w:t>
      </w:r>
      <w:r w:rsidR="004B1B81">
        <w:t>s</w:t>
      </w:r>
      <w:r w:rsidR="00FF6ED3">
        <w:t xml:space="preserve"> (e.g. </w:t>
      </w:r>
      <w:proofErr w:type="spellStart"/>
      <w:r w:rsidR="00FF6ED3">
        <w:t>bisphenol</w:t>
      </w:r>
      <w:proofErr w:type="spellEnd"/>
      <w:r w:rsidR="00FF6ED3">
        <w:t xml:space="preserve"> A</w:t>
      </w:r>
      <w:r w:rsidR="00FF6ED3" w:rsidRPr="00721D23">
        <w:t>)</w:t>
      </w:r>
      <w:r w:rsidR="00654AD8" w:rsidRPr="00721D23">
        <w:t xml:space="preserve">, </w:t>
      </w:r>
      <w:r w:rsidR="001868CF" w:rsidRPr="00721D23">
        <w:t>an increasing number of</w:t>
      </w:r>
      <w:r w:rsidR="00654AD8" w:rsidRPr="00721D23">
        <w:t xml:space="preserve"> food crises</w:t>
      </w:r>
      <w:r w:rsidR="00FF4012" w:rsidRPr="00721D23">
        <w:t xml:space="preserve"> </w:t>
      </w:r>
      <w:r w:rsidR="00891AD3" w:rsidRPr="00721D23">
        <w:t xml:space="preserve">nowadays </w:t>
      </w:r>
      <w:r w:rsidR="00654AD8" w:rsidRPr="00721D23">
        <w:t>originate from non-plastic compounds (</w:t>
      </w:r>
      <w:r w:rsidR="00F9212F" w:rsidRPr="00721D23">
        <w:t>E</w:t>
      </w:r>
      <w:r w:rsidR="00D46561" w:rsidRPr="00721D23">
        <w:t>FSA, 2011</w:t>
      </w:r>
      <w:r w:rsidR="009C3C61" w:rsidRPr="00721D23">
        <w:t>a</w:t>
      </w:r>
      <w:r w:rsidR="00654AD8">
        <w:t xml:space="preserve">). </w:t>
      </w:r>
      <w:r w:rsidR="00230650">
        <w:t>In 200</w:t>
      </w:r>
      <w:r w:rsidR="001B702B">
        <w:t xml:space="preserve">5, the Italian authorities notified </w:t>
      </w:r>
      <w:r w:rsidR="00637CE8">
        <w:t>through</w:t>
      </w:r>
      <w:r w:rsidR="001B702B">
        <w:t xml:space="preserve"> the Rapid Alert System for Food and Feed (RASFF) the occurrence of 2-isopropylthioxanthone (ITX) in liquid milk for b</w:t>
      </w:r>
      <w:r w:rsidR="00875A29">
        <w:t>abies</w:t>
      </w:r>
      <w:r w:rsidR="00B05E1B">
        <w:t>,</w:t>
      </w:r>
      <w:r w:rsidR="00875A29">
        <w:t xml:space="preserve"> packaged in printed cardboard</w:t>
      </w:r>
      <w:r w:rsidR="00B05E1B">
        <w:t>,</w:t>
      </w:r>
      <w:r w:rsidR="00525855" w:rsidRPr="00525855">
        <w:t xml:space="preserve"> </w:t>
      </w:r>
      <w:r w:rsidR="00525855" w:rsidRPr="00525855">
        <w:lastRenderedPageBreak/>
        <w:t xml:space="preserve">at </w:t>
      </w:r>
      <w:r w:rsidR="00EF7574">
        <w:t xml:space="preserve">a </w:t>
      </w:r>
      <w:r w:rsidR="00E955BA">
        <w:t>concentration</w:t>
      </w:r>
      <w:r w:rsidR="00525855" w:rsidRPr="00525855">
        <w:t xml:space="preserve"> of 250 µg/</w:t>
      </w:r>
      <w:r w:rsidR="00EF7574">
        <w:t>L</w:t>
      </w:r>
      <w:r w:rsidR="00CC153D">
        <w:t>.</w:t>
      </w:r>
      <w:r w:rsidR="001B702B">
        <w:t xml:space="preserve"> </w:t>
      </w:r>
      <w:r w:rsidR="00E873A0">
        <w:t xml:space="preserve">ITX is a </w:t>
      </w:r>
      <w:proofErr w:type="spellStart"/>
      <w:r w:rsidR="00E873A0">
        <w:t>photoinitiator</w:t>
      </w:r>
      <w:proofErr w:type="spellEnd"/>
      <w:r w:rsidR="00E873A0">
        <w:t xml:space="preserve"> frequently used as</w:t>
      </w:r>
      <w:r w:rsidR="00EA5CC5">
        <w:t xml:space="preserve"> a</w:t>
      </w:r>
      <w:r w:rsidR="00E873A0">
        <w:t xml:space="preserve"> catalyst in the manufacturing of UV-cured inks.</w:t>
      </w:r>
      <w:r w:rsidR="006628BA">
        <w:t xml:space="preserve"> Given the very limited toxicological data on this substance, establishing the level of safety concern and the subsequent development of risk ma</w:t>
      </w:r>
      <w:r w:rsidR="00815FF3">
        <w:t>nagement options was a challenging</w:t>
      </w:r>
      <w:r w:rsidR="006628BA">
        <w:t xml:space="preserve"> task </w:t>
      </w:r>
      <w:r w:rsidR="003654EC">
        <w:t>(</w:t>
      </w:r>
      <w:r w:rsidR="00F9212F">
        <w:t>EFSA, 2005</w:t>
      </w:r>
      <w:r w:rsidR="003654EC">
        <w:t>)</w:t>
      </w:r>
      <w:r w:rsidR="006628BA">
        <w:t>.</w:t>
      </w:r>
      <w:r w:rsidR="00EA5CC5" w:rsidRPr="00EA5CC5">
        <w:t xml:space="preserve"> </w:t>
      </w:r>
      <w:r w:rsidR="00A24590">
        <w:t>A second example</w:t>
      </w:r>
      <w:r w:rsidR="00EA5CC5">
        <w:t xml:space="preserve"> is the RASFF notification </w:t>
      </w:r>
      <w:r w:rsidR="00A24590">
        <w:t>of</w:t>
      </w:r>
      <w:r w:rsidR="00EA5CC5">
        <w:t xml:space="preserve"> 4-methylbenzophenone</w:t>
      </w:r>
      <w:r w:rsidR="00A24590">
        <w:t xml:space="preserve"> (4MBP) by multiple </w:t>
      </w:r>
      <w:r w:rsidR="004B1B81">
        <w:t>M</w:t>
      </w:r>
      <w:r w:rsidR="000E622E">
        <w:t xml:space="preserve">ember </w:t>
      </w:r>
      <w:r w:rsidR="004B1B81">
        <w:t>S</w:t>
      </w:r>
      <w:r w:rsidR="000E622E">
        <w:t>tate</w:t>
      </w:r>
      <w:r w:rsidR="00A24590">
        <w:t xml:space="preserve"> authorities in 2009. 4MBP</w:t>
      </w:r>
      <w:r w:rsidR="004B1B81">
        <w:t>,</w:t>
      </w:r>
      <w:r w:rsidR="00A24590">
        <w:t xml:space="preserve"> another </w:t>
      </w:r>
      <w:proofErr w:type="spellStart"/>
      <w:r w:rsidR="00A24590">
        <w:t>photoinitiator</w:t>
      </w:r>
      <w:proofErr w:type="spellEnd"/>
      <w:r w:rsidR="00EB6ED6">
        <w:t xml:space="preserve">, </w:t>
      </w:r>
      <w:r w:rsidR="004B1B81">
        <w:t>was</w:t>
      </w:r>
      <w:r w:rsidR="00EB6ED6">
        <w:t xml:space="preserve"> </w:t>
      </w:r>
      <w:r w:rsidR="00A24590">
        <w:t xml:space="preserve">found in breakfast cereals </w:t>
      </w:r>
      <w:r w:rsidR="00B74C7A">
        <w:t xml:space="preserve">in concentrations up to 3728 µg/kg. </w:t>
      </w:r>
      <w:r w:rsidR="00C20273">
        <w:t>Since i</w:t>
      </w:r>
      <w:r w:rsidR="004B1B81">
        <w:t>nsufficient</w:t>
      </w:r>
      <w:r w:rsidR="00A24590">
        <w:t xml:space="preserve"> toxicological information </w:t>
      </w:r>
      <w:r w:rsidR="00B74C7A">
        <w:t>was</w:t>
      </w:r>
      <w:r w:rsidR="00A24590">
        <w:t xml:space="preserve"> available</w:t>
      </w:r>
      <w:r w:rsidR="00B74C7A">
        <w:t xml:space="preserve"> for 4MBP itself</w:t>
      </w:r>
      <w:r w:rsidR="007510BA">
        <w:t>,</w:t>
      </w:r>
      <w:r w:rsidR="00B74C7A">
        <w:t xml:space="preserve"> the</w:t>
      </w:r>
      <w:r w:rsidR="00035CF3">
        <w:t xml:space="preserve"> preliminary</w:t>
      </w:r>
      <w:r w:rsidR="00B74C7A">
        <w:t xml:space="preserve"> safety evaluation was based on </w:t>
      </w:r>
      <w:r w:rsidR="00185306">
        <w:t>a read-</w:t>
      </w:r>
      <w:r w:rsidR="00C74E63">
        <w:t xml:space="preserve">across approach </w:t>
      </w:r>
      <w:r w:rsidR="00B74C7A">
        <w:t>with</w:t>
      </w:r>
      <w:r w:rsidR="00C74E63" w:rsidRPr="00C74E63">
        <w:t xml:space="preserve"> </w:t>
      </w:r>
      <w:proofErr w:type="spellStart"/>
      <w:r w:rsidR="00B74C7A">
        <w:t>benzophenone</w:t>
      </w:r>
      <w:proofErr w:type="spellEnd"/>
      <w:r w:rsidR="00C74E63">
        <w:t xml:space="preserve"> and </w:t>
      </w:r>
      <w:proofErr w:type="spellStart"/>
      <w:r w:rsidR="00C74E63">
        <w:t>hydroxybenzophenone</w:t>
      </w:r>
      <w:proofErr w:type="spellEnd"/>
      <w:r w:rsidR="00035CF3">
        <w:t xml:space="preserve">, </w:t>
      </w:r>
      <w:r w:rsidR="00525855">
        <w:t xml:space="preserve">two structurally related substances </w:t>
      </w:r>
      <w:r w:rsidR="00035CF3">
        <w:t xml:space="preserve">for which more experimental results could be consulted </w:t>
      </w:r>
      <w:r w:rsidR="00A24590">
        <w:t>(</w:t>
      </w:r>
      <w:r w:rsidR="00D46561">
        <w:t>EFSA, 2009</w:t>
      </w:r>
      <w:r w:rsidR="007510BA">
        <w:t>)</w:t>
      </w:r>
      <w:r w:rsidR="00CC153D">
        <w:t>.</w:t>
      </w:r>
      <w:r w:rsidR="007510BA">
        <w:t xml:space="preserve"> </w:t>
      </w:r>
      <w:r w:rsidR="00661AC7">
        <w:t>In the case of</w:t>
      </w:r>
      <w:r w:rsidR="009406E7">
        <w:t xml:space="preserve"> </w:t>
      </w:r>
      <w:r w:rsidR="007510BA">
        <w:t>both ITX and 4MBP, EFSA concluded that</w:t>
      </w:r>
      <w:r w:rsidR="00C74E63">
        <w:t xml:space="preserve"> short term</w:t>
      </w:r>
      <w:r w:rsidR="007510BA">
        <w:t xml:space="preserve"> exposure to </w:t>
      </w:r>
      <w:r w:rsidR="00FE3D15">
        <w:t>these</w:t>
      </w:r>
      <w:r w:rsidR="007510BA">
        <w:t xml:space="preserve"> substance</w:t>
      </w:r>
      <w:r w:rsidR="00FE3D15">
        <w:t>s</w:t>
      </w:r>
      <w:r w:rsidR="007510BA">
        <w:t xml:space="preserve"> </w:t>
      </w:r>
      <w:r w:rsidR="00FE3D15">
        <w:t xml:space="preserve">does not </w:t>
      </w:r>
      <w:r w:rsidR="00C74E63">
        <w:t xml:space="preserve">pose a risk to </w:t>
      </w:r>
      <w:r w:rsidR="000F42C0">
        <w:t>the majority of the population</w:t>
      </w:r>
      <w:r w:rsidR="00815FF3">
        <w:t>. H</w:t>
      </w:r>
      <w:r w:rsidR="00C74E63">
        <w:t>owever</w:t>
      </w:r>
      <w:r w:rsidR="00815FF3">
        <w:t>, if</w:t>
      </w:r>
      <w:r w:rsidR="00C74E63">
        <w:t xml:space="preserve"> their use </w:t>
      </w:r>
      <w:r w:rsidR="00525855">
        <w:t>was intended</w:t>
      </w:r>
      <w:r w:rsidR="00C74E63">
        <w:t xml:space="preserve"> to be continued, more data </w:t>
      </w:r>
      <w:r w:rsidR="00FE3D15">
        <w:t>should</w:t>
      </w:r>
      <w:r w:rsidR="00E955BA">
        <w:t xml:space="preserve"> be provided</w:t>
      </w:r>
      <w:r w:rsidR="00C74E63">
        <w:t xml:space="preserve"> </w:t>
      </w:r>
      <w:r w:rsidR="00525855">
        <w:t>to allow</w:t>
      </w:r>
      <w:r w:rsidR="00C74E63">
        <w:t xml:space="preserve"> a full risk assessment.</w:t>
      </w:r>
      <w:r w:rsidR="006628BA">
        <w:t xml:space="preserve"> </w:t>
      </w:r>
      <w:r w:rsidR="00661AC7">
        <w:t>These examples</w:t>
      </w:r>
      <w:r w:rsidR="00FE3D15">
        <w:t xml:space="preserve"> clearly</w:t>
      </w:r>
      <w:r w:rsidR="00661AC7">
        <w:t xml:space="preserve"> illustrate that</w:t>
      </w:r>
      <w:r w:rsidR="00F34687">
        <w:t xml:space="preserve"> </w:t>
      </w:r>
      <w:r w:rsidR="00C460E5">
        <w:t xml:space="preserve">more </w:t>
      </w:r>
      <w:r w:rsidR="00F34687">
        <w:t xml:space="preserve">information regarding </w:t>
      </w:r>
      <w:r w:rsidR="00F34687" w:rsidRPr="009406E7">
        <w:t>non-plastic FCM is urgently</w:t>
      </w:r>
      <w:r w:rsidR="00F34687">
        <w:t xml:space="preserve"> </w:t>
      </w:r>
      <w:r w:rsidR="00B946D6">
        <w:t>needed</w:t>
      </w:r>
      <w:r w:rsidR="00F34687">
        <w:t xml:space="preserve"> in order to </w:t>
      </w:r>
      <w:r w:rsidR="00815FF3">
        <w:t xml:space="preserve">guarantee the safety of packed food products and </w:t>
      </w:r>
      <w:r w:rsidR="00F34687">
        <w:t xml:space="preserve">prevent food crises in the future. </w:t>
      </w:r>
    </w:p>
    <w:p w:rsidR="008405EC" w:rsidRDefault="00525855" w:rsidP="00315B6C">
      <w:pPr>
        <w:spacing w:after="0" w:line="480" w:lineRule="auto"/>
        <w:jc w:val="both"/>
      </w:pPr>
      <w:r>
        <w:t>P</w:t>
      </w:r>
      <w:r w:rsidR="00C25622">
        <w:t xml:space="preserve">rinted paper </w:t>
      </w:r>
      <w:r w:rsidR="00402181">
        <w:t xml:space="preserve">and board </w:t>
      </w:r>
      <w:r w:rsidR="009F1327">
        <w:t>cover a large part</w:t>
      </w:r>
      <w:r>
        <w:t xml:space="preserve"> of the non-plastic FCM. </w:t>
      </w:r>
      <w:r w:rsidR="00875B48">
        <w:t>Specifically for food packaging, th</w:t>
      </w:r>
      <w:r w:rsidR="00F173BB">
        <w:t>ese materials</w:t>
      </w:r>
      <w:r w:rsidR="00875B48">
        <w:t xml:space="preserve"> are used </w:t>
      </w:r>
      <w:r w:rsidR="00F173BB">
        <w:t xml:space="preserve">very </w:t>
      </w:r>
      <w:r w:rsidR="00875B48">
        <w:t xml:space="preserve">frequently. </w:t>
      </w:r>
      <w:r>
        <w:t>Indeed</w:t>
      </w:r>
      <w:r w:rsidR="00182F1C">
        <w:t>, 90% of all manufactured foodstu</w:t>
      </w:r>
      <w:r w:rsidR="006D3222">
        <w:t>ffs are sold in printed package</w:t>
      </w:r>
      <w:r w:rsidR="00C76D17">
        <w:t xml:space="preserve"> (</w:t>
      </w:r>
      <w:proofErr w:type="spellStart"/>
      <w:r w:rsidR="00C76D17">
        <w:t>Lago</w:t>
      </w:r>
      <w:proofErr w:type="spellEnd"/>
      <w:r w:rsidR="00C76D17">
        <w:t xml:space="preserve"> et al., 2015)</w:t>
      </w:r>
      <w:r w:rsidR="00834D80">
        <w:t>,</w:t>
      </w:r>
      <w:r w:rsidR="006D3222">
        <w:t xml:space="preserve"> </w:t>
      </w:r>
      <w:r w:rsidR="00A92724">
        <w:t>whereas paper and board</w:t>
      </w:r>
      <w:r w:rsidR="00182F1C">
        <w:t xml:space="preserve"> </w:t>
      </w:r>
      <w:r w:rsidR="004958AD">
        <w:t>ha</w:t>
      </w:r>
      <w:r w:rsidR="00A92724">
        <w:t>ve</w:t>
      </w:r>
      <w:r w:rsidR="004958AD">
        <w:t xml:space="preserve"> been</w:t>
      </w:r>
      <w:r>
        <w:t xml:space="preserve"> </w:t>
      </w:r>
      <w:r w:rsidR="00182F1C">
        <w:t>the most important packaging material</w:t>
      </w:r>
      <w:r w:rsidR="00A92724">
        <w:t>s</w:t>
      </w:r>
      <w:r w:rsidR="00182F1C">
        <w:t xml:space="preserve"> since years </w:t>
      </w:r>
      <w:r w:rsidR="00C76D17">
        <w:t>(</w:t>
      </w:r>
      <w:proofErr w:type="spellStart"/>
      <w:r w:rsidR="00B02D00">
        <w:t>Leks-Stepien</w:t>
      </w:r>
      <w:proofErr w:type="spellEnd"/>
      <w:r w:rsidR="00B02D00">
        <w:t>, 2011</w:t>
      </w:r>
      <w:r w:rsidR="005249AF">
        <w:t>)</w:t>
      </w:r>
      <w:r w:rsidR="00182F1C">
        <w:t>.</w:t>
      </w:r>
      <w:r w:rsidR="00BF11F6" w:rsidRPr="00BF11F6">
        <w:t xml:space="preserve"> </w:t>
      </w:r>
      <w:r w:rsidR="008405EC" w:rsidRPr="00721D23">
        <w:t xml:space="preserve">For obvious reasons, </w:t>
      </w:r>
      <w:r w:rsidR="00BB2313" w:rsidRPr="00721D23">
        <w:t>industry does not communicate detailed</w:t>
      </w:r>
      <w:r w:rsidR="008405EC" w:rsidRPr="00721D23">
        <w:t xml:space="preserve"> information on </w:t>
      </w:r>
      <w:r w:rsidR="00680DEB" w:rsidRPr="00721D23">
        <w:t>substance usage</w:t>
      </w:r>
      <w:r w:rsidR="008405EC" w:rsidRPr="00721D23">
        <w:t xml:space="preserve">. </w:t>
      </w:r>
      <w:r w:rsidR="00EB783E" w:rsidRPr="00721D23">
        <w:t>Through the</w:t>
      </w:r>
      <w:r w:rsidR="00B15040" w:rsidRPr="00721D23">
        <w:t xml:space="preserve"> EU-funded</w:t>
      </w:r>
      <w:r w:rsidR="00680DEB" w:rsidRPr="00721D23">
        <w:t xml:space="preserve"> Flavourings, Additives, and </w:t>
      </w:r>
      <w:r w:rsidR="004A1A0F" w:rsidRPr="00721D23">
        <w:t>f</w:t>
      </w:r>
      <w:r w:rsidR="00680DEB" w:rsidRPr="00721D23">
        <w:t xml:space="preserve">ood Contact materials Exposure Tool (FACET) </w:t>
      </w:r>
      <w:r w:rsidR="00EB783E" w:rsidRPr="00721D23">
        <w:t>project,</w:t>
      </w:r>
      <w:r w:rsidR="00680DEB" w:rsidRPr="00721D23">
        <w:t xml:space="preserve"> </w:t>
      </w:r>
      <w:r w:rsidR="00EB783E" w:rsidRPr="00721D23">
        <w:t xml:space="preserve">however, information on relative substance use was provided by </w:t>
      </w:r>
      <w:r w:rsidR="00FE0BF2" w:rsidRPr="00721D23">
        <w:t>13 European FCM trade associations</w:t>
      </w:r>
      <w:r w:rsidR="00B15040" w:rsidRPr="00721D23">
        <w:t xml:space="preserve">. The resulting information </w:t>
      </w:r>
      <w:r w:rsidR="004A1A0F" w:rsidRPr="00721D23">
        <w:t>wa</w:t>
      </w:r>
      <w:r w:rsidR="00B15040" w:rsidRPr="00721D23">
        <w:t>s collected in a freely available</w:t>
      </w:r>
      <w:r w:rsidR="004A1A0F" w:rsidRPr="00721D23">
        <w:t xml:space="preserve"> software</w:t>
      </w:r>
      <w:r w:rsidR="00B15040" w:rsidRPr="00721D23">
        <w:t xml:space="preserve"> tool that contains the</w:t>
      </w:r>
      <w:r w:rsidR="00680DEB" w:rsidRPr="00721D23">
        <w:t xml:space="preserve"> substances confirmed to be used in the manufacturing of primary packaging FCM </w:t>
      </w:r>
      <w:r w:rsidR="00BB2313" w:rsidRPr="00721D23">
        <w:t>(Hearty et al., 2011)</w:t>
      </w:r>
      <w:r w:rsidR="00680DEB" w:rsidRPr="00721D23">
        <w:t>.</w:t>
      </w:r>
    </w:p>
    <w:p w:rsidR="00DD54DC" w:rsidRPr="00DD54DC" w:rsidRDefault="00DC27B9" w:rsidP="0087001D">
      <w:pPr>
        <w:spacing w:after="0" w:line="480" w:lineRule="auto"/>
        <w:jc w:val="both"/>
      </w:pPr>
      <w:r>
        <w:t xml:space="preserve">In the </w:t>
      </w:r>
      <w:r w:rsidR="00AF2BF0">
        <w:t xml:space="preserve">present study, </w:t>
      </w:r>
      <w:r w:rsidR="00A92724">
        <w:t xml:space="preserve">both </w:t>
      </w:r>
      <w:r w:rsidR="00AF2BF0">
        <w:t>print</w:t>
      </w:r>
      <w:r w:rsidR="000314AC">
        <w:t>ing inks and</w:t>
      </w:r>
      <w:r w:rsidR="00AF2BF0">
        <w:t xml:space="preserve"> paper</w:t>
      </w:r>
      <w:r w:rsidR="00E83912">
        <w:t>(</w:t>
      </w:r>
      <w:r w:rsidR="00AF2BF0">
        <w:t>board</w:t>
      </w:r>
      <w:r w:rsidR="00E83912">
        <w:t>)</w:t>
      </w:r>
      <w:r w:rsidR="000314AC">
        <w:t xml:space="preserve"> </w:t>
      </w:r>
      <w:r w:rsidR="00A92724">
        <w:t>used in</w:t>
      </w:r>
      <w:r w:rsidR="00AF2BF0">
        <w:t xml:space="preserve"> FCM</w:t>
      </w:r>
      <w:r w:rsidR="009F0581">
        <w:t xml:space="preserve"> </w:t>
      </w:r>
      <w:r w:rsidR="000314AC">
        <w:t xml:space="preserve">applications </w:t>
      </w:r>
      <w:r w:rsidR="00525855">
        <w:t>were investigated as a potential source of food c</w:t>
      </w:r>
      <w:r w:rsidR="00764715">
        <w:t>ontamination. To this extent, a</w:t>
      </w:r>
      <w:r w:rsidR="00B7095C">
        <w:t xml:space="preserve">n </w:t>
      </w:r>
      <w:r w:rsidR="00525855">
        <w:t xml:space="preserve">inventory </w:t>
      </w:r>
      <w:r w:rsidR="00B7095C">
        <w:t>was created combining</w:t>
      </w:r>
      <w:r w:rsidR="00525855">
        <w:t xml:space="preserve"> all substances </w:t>
      </w:r>
      <w:r w:rsidR="00875B48">
        <w:t>which may be used</w:t>
      </w:r>
      <w:r w:rsidR="00525855">
        <w:t xml:space="preserve"> in </w:t>
      </w:r>
      <w:r w:rsidR="004F44B0">
        <w:t>printed paper and board.</w:t>
      </w:r>
      <w:r w:rsidR="00525855">
        <w:t xml:space="preserve"> </w:t>
      </w:r>
      <w:r w:rsidR="004958AD">
        <w:t xml:space="preserve">Next, the evaluation status of these </w:t>
      </w:r>
      <w:r w:rsidR="004958AD">
        <w:lastRenderedPageBreak/>
        <w:t>substances was examined</w:t>
      </w:r>
      <w:r w:rsidR="00A92724">
        <w:t xml:space="preserve"> </w:t>
      </w:r>
      <w:r w:rsidR="00A92724" w:rsidRPr="00536EFC">
        <w:t>as this has an important impact on their safety assessment</w:t>
      </w:r>
      <w:r w:rsidR="004958AD" w:rsidRPr="00536EFC">
        <w:t>. Substances</w:t>
      </w:r>
      <w:r w:rsidR="004958AD">
        <w:t xml:space="preserve"> for which a toxicologica</w:t>
      </w:r>
      <w:r w:rsidR="000314AC">
        <w:t>l evaluation has been performed</w:t>
      </w:r>
      <w:r w:rsidR="004958AD">
        <w:t xml:space="preserve"> are considered to be safe</w:t>
      </w:r>
      <w:r w:rsidR="00BA1CBD">
        <w:t xml:space="preserve"> in case their migration does not</w:t>
      </w:r>
      <w:r w:rsidR="004958AD">
        <w:t xml:space="preserve"> exceed the established migration limit</w:t>
      </w:r>
      <w:r w:rsidR="0091312D">
        <w:t xml:space="preserve"> (European Union, 2011)</w:t>
      </w:r>
      <w:r w:rsidR="004958AD">
        <w:t xml:space="preserve">. </w:t>
      </w:r>
      <w:r w:rsidR="00A92724">
        <w:t>In contrast, n</w:t>
      </w:r>
      <w:r w:rsidR="008F6E59" w:rsidRPr="008F6E59">
        <w:t xml:space="preserve">on-evaluated substances that are able to migrate into the food and that are bioavailable, </w:t>
      </w:r>
      <w:r w:rsidR="0091312D">
        <w:t>are assumed to</w:t>
      </w:r>
      <w:r w:rsidR="008F6E59" w:rsidRPr="008F6E59">
        <w:t xml:space="preserve"> be of potential concern for human health. </w:t>
      </w:r>
      <w:r w:rsidR="009534BA" w:rsidRPr="00721D23">
        <w:t>P</w:t>
      </w:r>
      <w:r w:rsidR="004958AD" w:rsidRPr="00721D23">
        <w:t xml:space="preserve">hysicochemical data </w:t>
      </w:r>
      <w:r w:rsidR="003E5ADE" w:rsidRPr="00721D23">
        <w:t xml:space="preserve">linked to migration and bioavailability potential </w:t>
      </w:r>
      <w:r w:rsidR="006E2817" w:rsidRPr="00721D23">
        <w:t>were</w:t>
      </w:r>
      <w:r w:rsidR="003E5ADE" w:rsidRPr="00721D23">
        <w:t xml:space="preserve"> </w:t>
      </w:r>
      <w:r w:rsidR="006E2817" w:rsidRPr="00721D23">
        <w:t xml:space="preserve">collected </w:t>
      </w:r>
      <w:r w:rsidR="00A92724" w:rsidRPr="00721D23">
        <w:t>for the non-evaluated single substances.</w:t>
      </w:r>
      <w:r w:rsidR="004A1A0F" w:rsidRPr="00721D23">
        <w:t xml:space="preserve"> </w:t>
      </w:r>
      <w:r w:rsidR="00C86047" w:rsidRPr="00721D23">
        <w:t>T</w:t>
      </w:r>
      <w:r w:rsidR="004C0CAE" w:rsidRPr="00721D23">
        <w:t>o obtain a</w:t>
      </w:r>
      <w:r w:rsidR="00642FF7" w:rsidRPr="00721D23">
        <w:t>n</w:t>
      </w:r>
      <w:r w:rsidR="00454B31" w:rsidRPr="00721D23">
        <w:t xml:space="preserve"> indication of their actual us</w:t>
      </w:r>
      <w:r w:rsidR="004C0CAE" w:rsidRPr="00721D23">
        <w:t xml:space="preserve">e, </w:t>
      </w:r>
      <w:r w:rsidR="004A1A0F" w:rsidRPr="00721D23">
        <w:t>the FACET tool was consulted for</w:t>
      </w:r>
      <w:r w:rsidR="008405EC" w:rsidRPr="00721D23">
        <w:t xml:space="preserve"> the compounds </w:t>
      </w:r>
      <w:r w:rsidR="00433060" w:rsidRPr="00721D23">
        <w:t>with the potential</w:t>
      </w:r>
      <w:r w:rsidR="008405EC" w:rsidRPr="00721D23">
        <w:t xml:space="preserve"> to migrate into food and become bioavailable after oral intake. </w:t>
      </w:r>
      <w:r w:rsidR="00752FE4" w:rsidRPr="00721D23">
        <w:t xml:space="preserve">For those </w:t>
      </w:r>
      <w:r w:rsidR="00026906" w:rsidRPr="00721D23">
        <w:t xml:space="preserve">compounds </w:t>
      </w:r>
      <w:r w:rsidR="00E17C74" w:rsidRPr="00721D23">
        <w:t>that were present</w:t>
      </w:r>
      <w:r w:rsidR="00752FE4" w:rsidRPr="00721D23">
        <w:t xml:space="preserve"> in the</w:t>
      </w:r>
      <w:r w:rsidR="00664AE5" w:rsidRPr="00721D23">
        <w:t xml:space="preserve"> FACET</w:t>
      </w:r>
      <w:r w:rsidR="00026906" w:rsidRPr="00721D23">
        <w:t xml:space="preserve"> tool</w:t>
      </w:r>
      <w:r w:rsidR="00752FE4" w:rsidRPr="00721D23">
        <w:t xml:space="preserve">, </w:t>
      </w:r>
      <w:r w:rsidR="00E17C74" w:rsidRPr="00721D23">
        <w:t xml:space="preserve">inclusion in </w:t>
      </w:r>
      <w:r w:rsidR="009C309F" w:rsidRPr="00721D23">
        <w:t>different</w:t>
      </w:r>
      <w:r w:rsidR="00E17C74" w:rsidRPr="00721D23">
        <w:t xml:space="preserve"> lists with substances of (potential) concern compiled by </w:t>
      </w:r>
      <w:r w:rsidR="007A2B57" w:rsidRPr="00721D23">
        <w:t xml:space="preserve">the European Chemicals Agency (ECHA) </w:t>
      </w:r>
      <w:r w:rsidR="00752FE4" w:rsidRPr="00721D23">
        <w:t>was verified</w:t>
      </w:r>
      <w:r w:rsidR="00664AE5" w:rsidRPr="00721D23">
        <w:t xml:space="preserve">. </w:t>
      </w:r>
      <w:r w:rsidR="000F60ED" w:rsidRPr="00721D23">
        <w:t xml:space="preserve">Based on this information, a </w:t>
      </w:r>
      <w:r w:rsidR="00155964" w:rsidRPr="00721D23">
        <w:t>high priority</w:t>
      </w:r>
      <w:r w:rsidR="003841EE" w:rsidRPr="00721D23">
        <w:t xml:space="preserve"> </w:t>
      </w:r>
      <w:r w:rsidR="007E56F9" w:rsidRPr="00721D23">
        <w:t xml:space="preserve">list </w:t>
      </w:r>
      <w:r w:rsidR="00752FE4" w:rsidRPr="00721D23">
        <w:t xml:space="preserve">was obtained containing </w:t>
      </w:r>
      <w:r w:rsidR="003841EE" w:rsidRPr="00721D23">
        <w:t xml:space="preserve">non-evaluated substances </w:t>
      </w:r>
      <w:r w:rsidR="00752FE4" w:rsidRPr="00721D23">
        <w:t>for which the actual use in printed paper and board FCM should be urgently investigated</w:t>
      </w:r>
      <w:r w:rsidR="003841EE" w:rsidRPr="00721D23">
        <w:t>.</w:t>
      </w:r>
      <w:r w:rsidR="004958AD">
        <w:t xml:space="preserve"> </w:t>
      </w:r>
    </w:p>
    <w:p w:rsidR="00DD54DC" w:rsidRDefault="00DD54DC" w:rsidP="0087001D">
      <w:pPr>
        <w:spacing w:after="0" w:line="480" w:lineRule="auto"/>
        <w:jc w:val="both"/>
        <w:rPr>
          <w:b/>
          <w:sz w:val="24"/>
        </w:rPr>
        <w:sectPr w:rsidR="00DD54DC" w:rsidSect="00C61D10">
          <w:pgSz w:w="11906" w:h="16838"/>
          <w:pgMar w:top="1440" w:right="1440" w:bottom="1440" w:left="1440" w:header="708" w:footer="708" w:gutter="0"/>
          <w:lnNumType w:countBy="1" w:restart="continuous"/>
          <w:cols w:space="708"/>
          <w:docGrid w:linePitch="360"/>
        </w:sectPr>
      </w:pPr>
    </w:p>
    <w:p w:rsidR="00E1216D" w:rsidRPr="0087001D" w:rsidRDefault="0087001D" w:rsidP="0087001D">
      <w:pPr>
        <w:spacing w:after="0" w:line="480" w:lineRule="auto"/>
        <w:jc w:val="both"/>
        <w:rPr>
          <w:b/>
          <w:sz w:val="24"/>
        </w:rPr>
      </w:pPr>
      <w:r>
        <w:rPr>
          <w:b/>
          <w:sz w:val="24"/>
        </w:rPr>
        <w:lastRenderedPageBreak/>
        <w:t xml:space="preserve">2. </w:t>
      </w:r>
      <w:r w:rsidR="00E1216D" w:rsidRPr="0087001D">
        <w:rPr>
          <w:b/>
          <w:sz w:val="24"/>
        </w:rPr>
        <w:t>Materials and methods</w:t>
      </w:r>
    </w:p>
    <w:p w:rsidR="00077248" w:rsidRPr="007E5847" w:rsidRDefault="0087001D" w:rsidP="0087001D">
      <w:pPr>
        <w:spacing w:after="0" w:line="480" w:lineRule="auto"/>
        <w:jc w:val="both"/>
        <w:rPr>
          <w:b/>
        </w:rPr>
      </w:pPr>
      <w:r w:rsidRPr="007E5847">
        <w:rPr>
          <w:b/>
        </w:rPr>
        <w:t xml:space="preserve">2.1. </w:t>
      </w:r>
      <w:r w:rsidR="0060774D" w:rsidRPr="007E5847">
        <w:rPr>
          <w:b/>
        </w:rPr>
        <w:t xml:space="preserve">Compilation of </w:t>
      </w:r>
      <w:r w:rsidR="00C04110" w:rsidRPr="007E5847">
        <w:rPr>
          <w:b/>
        </w:rPr>
        <w:t xml:space="preserve">the combined inventory </w:t>
      </w:r>
    </w:p>
    <w:p w:rsidR="006E2F40" w:rsidRPr="006E2F40" w:rsidRDefault="0004495D" w:rsidP="00315B6C">
      <w:pPr>
        <w:spacing w:after="0" w:line="480" w:lineRule="auto"/>
        <w:jc w:val="both"/>
      </w:pPr>
      <w:r>
        <w:t>A</w:t>
      </w:r>
      <w:r w:rsidR="005B58C7">
        <w:t xml:space="preserve"> </w:t>
      </w:r>
      <w:r w:rsidR="00C04110">
        <w:t>combined</w:t>
      </w:r>
      <w:r w:rsidR="005B58C7">
        <w:t xml:space="preserve"> inventory </w:t>
      </w:r>
      <w:r w:rsidR="006C4DC6">
        <w:t>of</w:t>
      </w:r>
      <w:r w:rsidR="005B58C7">
        <w:t xml:space="preserve"> substances known and used in printed paper and board FCM was compiled based </w:t>
      </w:r>
      <w:r w:rsidR="005B58C7" w:rsidRPr="00721D23">
        <w:t xml:space="preserve">on </w:t>
      </w:r>
      <w:r w:rsidR="00E83912" w:rsidRPr="00721D23">
        <w:t>a variety of</w:t>
      </w:r>
      <w:r w:rsidR="00425E1D" w:rsidRPr="00721D23">
        <w:t xml:space="preserve"> freely available </w:t>
      </w:r>
      <w:r w:rsidR="005B58C7" w:rsidRPr="00721D23">
        <w:t>documents</w:t>
      </w:r>
      <w:r w:rsidR="00E83912" w:rsidRPr="00721D23">
        <w:t xml:space="preserve"> </w:t>
      </w:r>
      <w:r w:rsidR="006E2F40" w:rsidRPr="008B531B">
        <w:t>listing</w:t>
      </w:r>
      <w:r w:rsidR="006E2F40">
        <w:t xml:space="preserve"> substances </w:t>
      </w:r>
      <w:r w:rsidR="00773D25">
        <w:t xml:space="preserve">that can be </w:t>
      </w:r>
      <w:r w:rsidR="006E2F40">
        <w:t xml:space="preserve">used in printing inks </w:t>
      </w:r>
      <w:r w:rsidR="00773D25">
        <w:t>or</w:t>
      </w:r>
      <w:r w:rsidR="006E2F40">
        <w:t xml:space="preserve"> paper(board)</w:t>
      </w:r>
      <w:r w:rsidR="00DF661A">
        <w:t xml:space="preserve"> for</w:t>
      </w:r>
      <w:r w:rsidR="006E2F40">
        <w:t xml:space="preserve"> </w:t>
      </w:r>
      <w:r w:rsidR="00773D25">
        <w:t>FCM</w:t>
      </w:r>
      <w:r w:rsidR="00DF661A">
        <w:t xml:space="preserve"> applications</w:t>
      </w:r>
      <w:r w:rsidR="00077248">
        <w:t>.</w:t>
      </w:r>
      <w:r w:rsidR="005B58C7">
        <w:t xml:space="preserve"> The</w:t>
      </w:r>
      <w:r w:rsidR="00E83912">
        <w:t>y</w:t>
      </w:r>
      <w:r w:rsidR="005B58C7">
        <w:t xml:space="preserve"> are described</w:t>
      </w:r>
      <w:r w:rsidR="006C4DC6">
        <w:t xml:space="preserve"> in detail</w:t>
      </w:r>
      <w:r w:rsidR="005B58C7">
        <w:t xml:space="preserve"> below</w:t>
      </w:r>
      <w:r w:rsidR="00E371F6">
        <w:t xml:space="preserve">. </w:t>
      </w:r>
      <w:r w:rsidR="006E2F40">
        <w:t xml:space="preserve"> </w:t>
      </w:r>
    </w:p>
    <w:p w:rsidR="007B220F" w:rsidRPr="00845053" w:rsidRDefault="007B220F" w:rsidP="007B220F">
      <w:pPr>
        <w:pStyle w:val="ListParagraph"/>
        <w:spacing w:after="0" w:line="480" w:lineRule="auto"/>
        <w:jc w:val="both"/>
        <w:rPr>
          <w:b/>
        </w:rPr>
      </w:pPr>
    </w:p>
    <w:p w:rsidR="00053641" w:rsidRPr="00E52DEC" w:rsidRDefault="0045010F" w:rsidP="00A14319">
      <w:pPr>
        <w:pStyle w:val="ListParagraph"/>
        <w:numPr>
          <w:ilvl w:val="0"/>
          <w:numId w:val="3"/>
        </w:numPr>
        <w:spacing w:after="0" w:line="480" w:lineRule="auto"/>
        <w:jc w:val="both"/>
        <w:rPr>
          <w:b/>
          <w:i/>
        </w:rPr>
      </w:pPr>
      <w:r w:rsidRPr="00E52DEC">
        <w:rPr>
          <w:b/>
          <w:i/>
        </w:rPr>
        <w:t>Swiss Ordinance on Materials and Articles in Contact with Food</w:t>
      </w:r>
      <w:r w:rsidR="00AA5ED7" w:rsidRPr="00E52DEC">
        <w:rPr>
          <w:b/>
          <w:i/>
        </w:rPr>
        <w:t>: Annex 6</w:t>
      </w:r>
      <w:r w:rsidR="000F1131" w:rsidRPr="00E52DEC">
        <w:rPr>
          <w:b/>
        </w:rPr>
        <w:t xml:space="preserve"> (</w:t>
      </w:r>
      <w:r w:rsidR="00AA5ED7" w:rsidRPr="00E52DEC">
        <w:rPr>
          <w:b/>
        </w:rPr>
        <w:t>Swiss list)</w:t>
      </w:r>
    </w:p>
    <w:p w:rsidR="00E31F6A" w:rsidRPr="0045010F" w:rsidRDefault="009B3D9B" w:rsidP="00A14319">
      <w:pPr>
        <w:spacing w:after="0" w:line="480" w:lineRule="auto"/>
        <w:ind w:left="720"/>
        <w:jc w:val="both"/>
        <w:rPr>
          <w:i/>
          <w:sz w:val="24"/>
        </w:rPr>
      </w:pPr>
      <w:r>
        <w:t xml:space="preserve">Switzerland, </w:t>
      </w:r>
      <w:r w:rsidR="001A4382">
        <w:t xml:space="preserve">as </w:t>
      </w:r>
      <w:r>
        <w:t xml:space="preserve">member of the European Free Trade Association (EFTA), </w:t>
      </w:r>
      <w:r w:rsidR="003A7171">
        <w:t xml:space="preserve">has </w:t>
      </w:r>
      <w:r w:rsidR="00F92A94">
        <w:t>adopted</w:t>
      </w:r>
      <w:r w:rsidR="003A7171">
        <w:t xml:space="preserve"> a specific legislation on printing inks used in FCM. The </w:t>
      </w:r>
      <w:r w:rsidR="003A7171" w:rsidRPr="00572605">
        <w:t>Swiss Ordinance</w:t>
      </w:r>
      <w:r w:rsidR="003A7171">
        <w:t xml:space="preserve"> </w:t>
      </w:r>
      <w:r w:rsidR="00F55D2D">
        <w:t xml:space="preserve">on materials and articles in contact with food </w:t>
      </w:r>
      <w:r w:rsidR="003A7171" w:rsidRPr="003A7171">
        <w:t>[</w:t>
      </w:r>
      <w:r w:rsidR="00FA1A5A">
        <w:t>RS</w:t>
      </w:r>
      <w:r w:rsidR="003A7171" w:rsidRPr="003A7171">
        <w:t xml:space="preserve"> 817.023.21]</w:t>
      </w:r>
      <w:r w:rsidR="00C76D17">
        <w:rPr>
          <w:lang w:val="en"/>
        </w:rPr>
        <w:t>(Swiss Confederation, 2005</w:t>
      </w:r>
      <w:r w:rsidR="00C76D17" w:rsidRPr="00572605">
        <w:rPr>
          <w:lang w:val="en"/>
        </w:rPr>
        <w:t>)</w:t>
      </w:r>
      <w:r w:rsidR="00FA1A5A">
        <w:t xml:space="preserve"> </w:t>
      </w:r>
      <w:r w:rsidR="002617ED">
        <w:t xml:space="preserve">stipulates that packaging inks may only be manufactured from the substances set out in </w:t>
      </w:r>
      <w:r w:rsidR="00FA1A5A">
        <w:t xml:space="preserve">annexes 1 and 6 of the Ordinance. </w:t>
      </w:r>
      <w:r w:rsidR="002617ED">
        <w:t>A</w:t>
      </w:r>
      <w:r w:rsidR="00FA1A5A">
        <w:t>nnex 1</w:t>
      </w:r>
      <w:r w:rsidR="002617ED">
        <w:t xml:space="preserve"> </w:t>
      </w:r>
      <w:r w:rsidR="00515A55">
        <w:t>recites</w:t>
      </w:r>
      <w:r w:rsidR="002617ED">
        <w:t xml:space="preserve"> </w:t>
      </w:r>
      <w:r w:rsidR="00FA1A5A">
        <w:t xml:space="preserve">substances </w:t>
      </w:r>
      <w:r w:rsidR="002617ED">
        <w:t>that can be used as monomers or other starting products</w:t>
      </w:r>
      <w:r w:rsidR="00A534F9">
        <w:t xml:space="preserve"> (list I), additives (list II) and particular requirements (list III) </w:t>
      </w:r>
      <w:r w:rsidR="002617ED">
        <w:t xml:space="preserve">for the </w:t>
      </w:r>
      <w:r w:rsidR="00A534F9">
        <w:t>fabrication</w:t>
      </w:r>
      <w:r w:rsidR="002617ED">
        <w:t xml:space="preserve"> of plastic materials and articles.</w:t>
      </w:r>
      <w:r w:rsidR="00FA1A5A">
        <w:t xml:space="preserve"> </w:t>
      </w:r>
      <w:r w:rsidR="00515A55">
        <w:t xml:space="preserve">Annex 6 sums up the </w:t>
      </w:r>
      <w:r w:rsidR="00A8278E">
        <w:t xml:space="preserve">permitted </w:t>
      </w:r>
      <w:r w:rsidR="00515A55">
        <w:t xml:space="preserve">substances for the </w:t>
      </w:r>
      <w:r w:rsidR="00A8278E">
        <w:t>manufacture</w:t>
      </w:r>
      <w:r w:rsidR="00515A55">
        <w:t xml:space="preserve"> of packaging inks</w:t>
      </w:r>
      <w:r w:rsidR="002378C0">
        <w:t>, categoris</w:t>
      </w:r>
      <w:r w:rsidR="00A8278E">
        <w:t xml:space="preserve">ed by their function, </w:t>
      </w:r>
      <w:r w:rsidR="001F7585">
        <w:t>i.e.</w:t>
      </w:r>
      <w:r w:rsidR="00A8278E">
        <w:t xml:space="preserve"> binders (list I), dyes and pigments (list II), solvents (list III), additives (list IV) and </w:t>
      </w:r>
      <w:proofErr w:type="spellStart"/>
      <w:r w:rsidR="00A8278E">
        <w:t>photoinitiators</w:t>
      </w:r>
      <w:proofErr w:type="spellEnd"/>
      <w:r w:rsidR="00A8278E">
        <w:t xml:space="preserve"> (list V). </w:t>
      </w:r>
    </w:p>
    <w:p w:rsidR="003A7171" w:rsidRDefault="00A8278E" w:rsidP="002378C0">
      <w:pPr>
        <w:spacing w:after="0" w:line="480" w:lineRule="auto"/>
        <w:ind w:left="720"/>
        <w:jc w:val="both"/>
        <w:rPr>
          <w:lang w:val="en"/>
        </w:rPr>
      </w:pPr>
      <w:r>
        <w:t>Each list</w:t>
      </w:r>
      <w:r w:rsidR="00E31F6A">
        <w:t xml:space="preserve"> in annex 6</w:t>
      </w:r>
      <w:r>
        <w:t xml:space="preserve"> is further subdivided into part</w:t>
      </w:r>
      <w:r w:rsidR="00E31F6A">
        <w:t xml:space="preserve">s A and </w:t>
      </w:r>
      <w:r>
        <w:t xml:space="preserve">B, </w:t>
      </w:r>
      <w:r w:rsidR="002378C0">
        <w:t>with</w:t>
      </w:r>
      <w:r>
        <w:t xml:space="preserve"> </w:t>
      </w:r>
      <w:r w:rsidR="00E31F6A">
        <w:t>p</w:t>
      </w:r>
      <w:r>
        <w:t>art A contain</w:t>
      </w:r>
      <w:r w:rsidR="002378C0">
        <w:t xml:space="preserve">ing </w:t>
      </w:r>
      <w:r w:rsidR="005430F1">
        <w:t xml:space="preserve">the evaluated </w:t>
      </w:r>
      <w:r>
        <w:t xml:space="preserve">substances </w:t>
      </w:r>
      <w:r w:rsidR="002378C0">
        <w:t xml:space="preserve">that have been subjected to officially recognised scientific testing (e.g. by EFSA) </w:t>
      </w:r>
      <w:r>
        <w:t xml:space="preserve">and part B </w:t>
      </w:r>
      <w:r w:rsidR="002378C0">
        <w:t xml:space="preserve">containing the </w:t>
      </w:r>
      <w:r>
        <w:t xml:space="preserve">substances </w:t>
      </w:r>
      <w:r w:rsidR="002378C0">
        <w:t>for which this is not the case</w:t>
      </w:r>
      <w:r>
        <w:t xml:space="preserve">. </w:t>
      </w:r>
      <w:r w:rsidR="005430F1">
        <w:t>The</w:t>
      </w:r>
      <w:r w:rsidR="00E31F6A">
        <w:t xml:space="preserve"> global migration limit</w:t>
      </w:r>
      <w:r w:rsidR="005430F1">
        <w:t xml:space="preserve"> of the substances in part A</w:t>
      </w:r>
      <w:r>
        <w:t xml:space="preserve"> </w:t>
      </w:r>
      <w:r w:rsidR="00E31F6A">
        <w:t>is set at 10 mg/dm</w:t>
      </w:r>
      <w:r w:rsidR="00E31F6A" w:rsidRPr="00572605">
        <w:rPr>
          <w:vertAlign w:val="superscript"/>
        </w:rPr>
        <w:t>2</w:t>
      </w:r>
      <w:r w:rsidR="00E31F6A">
        <w:t xml:space="preserve"> or 60 mg/kg, unless a specific migration limit (SML) is mentioned. </w:t>
      </w:r>
      <w:r w:rsidR="00933F4F" w:rsidRPr="00933F4F">
        <w:t>The</w:t>
      </w:r>
      <w:r w:rsidR="0034775B">
        <w:t xml:space="preserve"> SML</w:t>
      </w:r>
      <w:r w:rsidR="00933F4F" w:rsidRPr="00933F4F">
        <w:t xml:space="preserve"> </w:t>
      </w:r>
      <w:r w:rsidR="00BD5B3B">
        <w:t>indicate</w:t>
      </w:r>
      <w:r w:rsidR="0034775B">
        <w:t>s</w:t>
      </w:r>
      <w:r w:rsidR="00933F4F" w:rsidRPr="00933F4F">
        <w:t xml:space="preserve"> the maximum amount of </w:t>
      </w:r>
      <w:r w:rsidR="0034775B">
        <w:t xml:space="preserve">a substance allowed to migrate into food, whereas the global migration limit is the default value </w:t>
      </w:r>
      <w:r w:rsidR="007E4E94">
        <w:t>assigned to</w:t>
      </w:r>
      <w:r w:rsidR="0034775B">
        <w:t xml:space="preserve"> the FCM</w:t>
      </w:r>
      <w:r w:rsidR="00EA4AEB">
        <w:t xml:space="preserve"> as a whole</w:t>
      </w:r>
      <w:r w:rsidR="00933F4F" w:rsidRPr="00933F4F">
        <w:t>.</w:t>
      </w:r>
      <w:r w:rsidR="00933F4F">
        <w:t xml:space="preserve"> </w:t>
      </w:r>
      <w:r w:rsidR="00852E43">
        <w:t>The use of substances in part B</w:t>
      </w:r>
      <w:r w:rsidR="00E31F6A">
        <w:t xml:space="preserve"> </w:t>
      </w:r>
      <w:r w:rsidR="00852E43">
        <w:t>is permitted if no transfer to food or food simulants can be detected in a migration test in the lowest possible concentration at which it may be detected applying a valid meth</w:t>
      </w:r>
      <w:r w:rsidR="00367066">
        <w:t xml:space="preserve">od of analysis. In no case, the detection </w:t>
      </w:r>
      <w:r w:rsidR="001A4382">
        <w:t>and</w:t>
      </w:r>
      <w:r w:rsidR="00367066">
        <w:t xml:space="preserve"> migration </w:t>
      </w:r>
      <w:r w:rsidR="00852E43">
        <w:t>level of 0.01 mg/kg</w:t>
      </w:r>
      <w:r w:rsidR="00367066">
        <w:t xml:space="preserve"> food or food simulant</w:t>
      </w:r>
      <w:r w:rsidR="00852E43">
        <w:t xml:space="preserve"> </w:t>
      </w:r>
      <w:r w:rsidR="00367066">
        <w:t>m</w:t>
      </w:r>
      <w:r w:rsidR="001A4382">
        <w:t>ay</w:t>
      </w:r>
      <w:r w:rsidR="00367066">
        <w:t xml:space="preserve"> be exceeded. </w:t>
      </w:r>
      <w:r w:rsidR="00623CD3">
        <w:t xml:space="preserve">Both the results of </w:t>
      </w:r>
      <w:r w:rsidR="00852E43">
        <w:lastRenderedPageBreak/>
        <w:t>practical experiment</w:t>
      </w:r>
      <w:r w:rsidR="00623CD3">
        <w:t>s and</w:t>
      </w:r>
      <w:r w:rsidR="00852E43">
        <w:t xml:space="preserve"> “worst case” calculation</w:t>
      </w:r>
      <w:r w:rsidR="00623CD3">
        <w:t>s</w:t>
      </w:r>
      <w:r w:rsidR="00852E43">
        <w:t xml:space="preserve"> </w:t>
      </w:r>
      <w:r w:rsidR="00367066">
        <w:t xml:space="preserve">are accepted </w:t>
      </w:r>
      <w:r w:rsidR="00623CD3">
        <w:t>to estimate migration</w:t>
      </w:r>
      <w:r w:rsidR="00852E43">
        <w:t xml:space="preserve">. </w:t>
      </w:r>
      <w:r w:rsidR="00367066" w:rsidRPr="00572605">
        <w:rPr>
          <w:lang w:val="en"/>
        </w:rPr>
        <w:t xml:space="preserve">The use of unlisted </w:t>
      </w:r>
      <w:r w:rsidR="00AE3ED6">
        <w:rPr>
          <w:lang w:val="en"/>
        </w:rPr>
        <w:t xml:space="preserve">packaging ink </w:t>
      </w:r>
      <w:r w:rsidR="00367066" w:rsidRPr="00572605">
        <w:rPr>
          <w:lang w:val="en"/>
        </w:rPr>
        <w:t>substances must be reported to</w:t>
      </w:r>
      <w:r w:rsidR="007E4E94">
        <w:rPr>
          <w:lang w:val="en"/>
        </w:rPr>
        <w:t xml:space="preserve"> the</w:t>
      </w:r>
      <w:r w:rsidR="00C2139A">
        <w:rPr>
          <w:lang w:val="en"/>
        </w:rPr>
        <w:t xml:space="preserve"> Swiss a</w:t>
      </w:r>
      <w:r w:rsidR="00367066" w:rsidRPr="00572605">
        <w:rPr>
          <w:lang w:val="en"/>
        </w:rPr>
        <w:t xml:space="preserve">uthorities prior to marketing. </w:t>
      </w:r>
    </w:p>
    <w:p w:rsidR="00C00DB2" w:rsidRPr="00572605" w:rsidRDefault="00C00DB2" w:rsidP="002378C0">
      <w:pPr>
        <w:spacing w:after="0" w:line="480" w:lineRule="auto"/>
        <w:ind w:left="720"/>
        <w:jc w:val="both"/>
        <w:rPr>
          <w:i/>
          <w:sz w:val="24"/>
        </w:rPr>
      </w:pPr>
    </w:p>
    <w:p w:rsidR="00C00DB2" w:rsidRPr="00E52DEC" w:rsidRDefault="00C00DB2" w:rsidP="00C00DB2">
      <w:pPr>
        <w:pStyle w:val="ListParagraph"/>
        <w:numPr>
          <w:ilvl w:val="0"/>
          <w:numId w:val="3"/>
        </w:numPr>
        <w:spacing w:after="0" w:line="480" w:lineRule="auto"/>
        <w:jc w:val="both"/>
        <w:rPr>
          <w:b/>
          <w:i/>
        </w:rPr>
      </w:pPr>
      <w:r w:rsidRPr="00E52DEC">
        <w:rPr>
          <w:b/>
          <w:i/>
        </w:rPr>
        <w:t>Resolution of the Council of Europe on paper and board materials and articles intended to come into contact with foodstuffs</w:t>
      </w:r>
      <w:r w:rsidRPr="00E52DEC">
        <w:rPr>
          <w:b/>
        </w:rPr>
        <w:t xml:space="preserve"> (</w:t>
      </w:r>
      <w:proofErr w:type="spellStart"/>
      <w:r w:rsidR="00AA5ED7" w:rsidRPr="00E52DEC">
        <w:rPr>
          <w:b/>
        </w:rPr>
        <w:t>CoE</w:t>
      </w:r>
      <w:proofErr w:type="spellEnd"/>
      <w:r w:rsidR="00AA5ED7" w:rsidRPr="00E52DEC">
        <w:rPr>
          <w:b/>
        </w:rPr>
        <w:t xml:space="preserve"> list</w:t>
      </w:r>
      <w:r w:rsidRPr="00E52DEC">
        <w:rPr>
          <w:b/>
        </w:rPr>
        <w:t>)</w:t>
      </w:r>
    </w:p>
    <w:p w:rsidR="00C00DB2" w:rsidRDefault="00C00DB2" w:rsidP="00C00DB2">
      <w:pPr>
        <w:spacing w:after="0" w:line="480" w:lineRule="auto"/>
        <w:ind w:left="720"/>
        <w:jc w:val="both"/>
      </w:pPr>
      <w:r>
        <w:t xml:space="preserve">The Council of Europe </w:t>
      </w:r>
      <w:r w:rsidR="00AA5ED7">
        <w:t>(</w:t>
      </w:r>
      <w:proofErr w:type="spellStart"/>
      <w:r w:rsidR="00AA5ED7">
        <w:t>CoE</w:t>
      </w:r>
      <w:proofErr w:type="spellEnd"/>
      <w:r w:rsidR="00AA5ED7">
        <w:t xml:space="preserve">) </w:t>
      </w:r>
      <w:r>
        <w:t xml:space="preserve">has compiled resolutions for several non-plastic FCM including paper and board. These policy statements are meant to serve as a guidance in case no specific regulation is adopted for a particular FCM group. Resolution </w:t>
      </w:r>
      <w:proofErr w:type="spellStart"/>
      <w:r>
        <w:t>ResAp</w:t>
      </w:r>
      <w:proofErr w:type="spellEnd"/>
      <w:r>
        <w:t xml:space="preserve"> (2002)1</w:t>
      </w:r>
      <w:r w:rsidR="00C76D17">
        <w:t xml:space="preserve"> (Council of Europe, 2009)</w:t>
      </w:r>
      <w:r>
        <w:t xml:space="preserve"> is completed by five Technical Documents, of which the first contains a list of additives that may be used in the manufacture of paper and board materials and articles intended to come into contact with foodstuffs. </w:t>
      </w:r>
      <w:r w:rsidR="006A5E79">
        <w:t xml:space="preserve">The list is further divided in </w:t>
      </w:r>
      <w:proofErr w:type="spellStart"/>
      <w:r w:rsidR="006A5E79">
        <w:t>sublists</w:t>
      </w:r>
      <w:proofErr w:type="spellEnd"/>
      <w:r w:rsidR="001A4382">
        <w:t xml:space="preserve"> 1 and 2.</w:t>
      </w:r>
      <w:r w:rsidR="006A5E79">
        <w:t xml:space="preserve"> </w:t>
      </w:r>
    </w:p>
    <w:p w:rsidR="000D0731" w:rsidRDefault="00C00DB2" w:rsidP="00901A45">
      <w:pPr>
        <w:spacing w:after="0" w:line="480" w:lineRule="auto"/>
        <w:ind w:left="709"/>
        <w:jc w:val="both"/>
      </w:pPr>
      <w:r>
        <w:t>Substances in list 1 of Technical Document 1 are approved (assessed),</w:t>
      </w:r>
      <w:r w:rsidR="000A2691">
        <w:t xml:space="preserve"> while</w:t>
      </w:r>
      <w:r>
        <w:t xml:space="preserve"> substances in list 2 are not approved (not yet assessed). The temporary appendix to list 1 contains additives approved by Partial </w:t>
      </w:r>
      <w:r w:rsidR="00240D9C">
        <w:t xml:space="preserve">Member State </w:t>
      </w:r>
      <w:r>
        <w:t xml:space="preserve">Agreement or by the United States Food and Drug Administration (FDA). Monomers used for the manufacture of polymeric additives are listed </w:t>
      </w:r>
      <w:r w:rsidR="00F674C9">
        <w:t xml:space="preserve">separately </w:t>
      </w:r>
      <w:r>
        <w:t xml:space="preserve">in three </w:t>
      </w:r>
      <w:r w:rsidR="00F674C9">
        <w:t>additional</w:t>
      </w:r>
      <w:r w:rsidR="00077248">
        <w:t xml:space="preserve"> </w:t>
      </w:r>
      <w:r>
        <w:t>appendices</w:t>
      </w:r>
      <w:r w:rsidR="00077248">
        <w:t>, containing a) approved, b) partially approved and c) non-approved substances</w:t>
      </w:r>
      <w:r w:rsidR="00C76D17">
        <w:t>.</w:t>
      </w:r>
      <w:r w:rsidR="000D0731">
        <w:t xml:space="preserve"> </w:t>
      </w:r>
    </w:p>
    <w:p w:rsidR="007F45FF" w:rsidRPr="00901A45" w:rsidRDefault="007F45FF" w:rsidP="00901A45">
      <w:pPr>
        <w:spacing w:after="0" w:line="480" w:lineRule="auto"/>
        <w:ind w:left="709"/>
        <w:jc w:val="both"/>
        <w:rPr>
          <w:sz w:val="24"/>
        </w:rPr>
      </w:pPr>
    </w:p>
    <w:p w:rsidR="00053641" w:rsidRPr="00E52DEC" w:rsidRDefault="00367066" w:rsidP="00E56CA5">
      <w:pPr>
        <w:pStyle w:val="ListParagraph"/>
        <w:numPr>
          <w:ilvl w:val="0"/>
          <w:numId w:val="3"/>
        </w:numPr>
        <w:spacing w:after="0" w:line="480" w:lineRule="auto"/>
        <w:jc w:val="both"/>
        <w:rPr>
          <w:b/>
          <w:i/>
        </w:rPr>
      </w:pPr>
      <w:r w:rsidRPr="00E52DEC">
        <w:rPr>
          <w:b/>
          <w:i/>
        </w:rPr>
        <w:t xml:space="preserve">EFSA </w:t>
      </w:r>
      <w:r w:rsidR="00E13F2C" w:rsidRPr="00E52DEC">
        <w:rPr>
          <w:b/>
          <w:i/>
        </w:rPr>
        <w:t xml:space="preserve">Scientific Cooperation Working Group report on non-plastic </w:t>
      </w:r>
      <w:r w:rsidR="007E4E94" w:rsidRPr="00E52DEC">
        <w:rPr>
          <w:b/>
          <w:i/>
        </w:rPr>
        <w:t>FCM</w:t>
      </w:r>
      <w:r w:rsidR="00AA5ED7" w:rsidRPr="00E52DEC">
        <w:rPr>
          <w:b/>
          <w:i/>
        </w:rPr>
        <w:t>: Paper and board section</w:t>
      </w:r>
      <w:r w:rsidR="00E56CA5" w:rsidRPr="00E52DEC">
        <w:rPr>
          <w:b/>
        </w:rPr>
        <w:t xml:space="preserve"> (</w:t>
      </w:r>
      <w:r w:rsidR="00AA5ED7" w:rsidRPr="00E52DEC">
        <w:rPr>
          <w:b/>
        </w:rPr>
        <w:t>ESCO list</w:t>
      </w:r>
      <w:r w:rsidR="00E56CA5" w:rsidRPr="00E52DEC">
        <w:rPr>
          <w:b/>
        </w:rPr>
        <w:t>)</w:t>
      </w:r>
    </w:p>
    <w:p w:rsidR="008E0D9F" w:rsidRDefault="002A7147" w:rsidP="00E56CA5">
      <w:pPr>
        <w:spacing w:after="0" w:line="480" w:lineRule="auto"/>
        <w:ind w:left="720"/>
        <w:jc w:val="both"/>
      </w:pPr>
      <w:r>
        <w:t xml:space="preserve">Following the observation that </w:t>
      </w:r>
      <w:r w:rsidR="004809B8" w:rsidRPr="00B40F7D">
        <w:t xml:space="preserve">FCM </w:t>
      </w:r>
      <w:r w:rsidRPr="00B40F7D">
        <w:t>crises</w:t>
      </w:r>
      <w:r>
        <w:t xml:space="preserve"> were</w:t>
      </w:r>
      <w:r w:rsidR="009D4D20">
        <w:t xml:space="preserve"> increasingly</w:t>
      </w:r>
      <w:r>
        <w:t xml:space="preserve"> due to non-plastic substances rather than to their plastic counterparts, the EFSA </w:t>
      </w:r>
      <w:r w:rsidR="001B3F22">
        <w:t>assembled</w:t>
      </w:r>
      <w:r>
        <w:t xml:space="preserve"> a Scientific Cooperation Working Group (ESCO WG)</w:t>
      </w:r>
      <w:r w:rsidR="004809B8">
        <w:t xml:space="preserve"> in 2010</w:t>
      </w:r>
      <w:r>
        <w:t xml:space="preserve">. </w:t>
      </w:r>
      <w:r w:rsidR="004809B8">
        <w:t>The working group highlighted that</w:t>
      </w:r>
      <w:r w:rsidR="00350D1D">
        <w:t xml:space="preserve"> at the EU level</w:t>
      </w:r>
      <w:r w:rsidR="001A4382">
        <w:t>,</w:t>
      </w:r>
      <w:r w:rsidR="00350D1D">
        <w:t xml:space="preserve"> due to the lack of a</w:t>
      </w:r>
      <w:r w:rsidR="004809B8">
        <w:t xml:space="preserve"> specific harmonised regulation </w:t>
      </w:r>
      <w:r w:rsidR="001D08BC">
        <w:t xml:space="preserve">for non-plastic </w:t>
      </w:r>
      <w:r w:rsidR="00F77619">
        <w:t>FCM</w:t>
      </w:r>
      <w:r w:rsidR="001D08BC">
        <w:t xml:space="preserve">, thousands of substances used </w:t>
      </w:r>
      <w:r w:rsidR="00350D1D">
        <w:t>for their</w:t>
      </w:r>
      <w:r w:rsidR="001D08BC">
        <w:t xml:space="preserve"> manufacture have not been </w:t>
      </w:r>
      <w:r w:rsidR="009D4D20">
        <w:t>safety-</w:t>
      </w:r>
      <w:r w:rsidR="001D08BC">
        <w:t xml:space="preserve">evaluated. </w:t>
      </w:r>
      <w:r w:rsidR="004809B8">
        <w:t>Nevertheless</w:t>
      </w:r>
      <w:r w:rsidR="001D08BC">
        <w:t xml:space="preserve">, </w:t>
      </w:r>
      <w:r w:rsidR="009D4D20">
        <w:t>they</w:t>
      </w:r>
      <w:r w:rsidR="00BA1CBD">
        <w:t xml:space="preserve"> recognis</w:t>
      </w:r>
      <w:r w:rsidR="004809B8">
        <w:t xml:space="preserve">ed </w:t>
      </w:r>
      <w:r w:rsidR="004809B8">
        <w:lastRenderedPageBreak/>
        <w:t xml:space="preserve">that </w:t>
      </w:r>
      <w:r w:rsidR="00D70F0C" w:rsidRPr="00B40F7D">
        <w:t>several M</w:t>
      </w:r>
      <w:r w:rsidR="00240D9C" w:rsidRPr="00B40F7D">
        <w:t xml:space="preserve">ember </w:t>
      </w:r>
      <w:r w:rsidR="00D70F0C" w:rsidRPr="00B40F7D">
        <w:t>S</w:t>
      </w:r>
      <w:r w:rsidR="00240D9C" w:rsidRPr="00B40F7D">
        <w:t>tates</w:t>
      </w:r>
      <w:r w:rsidR="00D70F0C" w:rsidRPr="00B40F7D">
        <w:t xml:space="preserve"> have</w:t>
      </w:r>
      <w:r w:rsidR="00D70F0C">
        <w:t xml:space="preserve"> gained </w:t>
      </w:r>
      <w:r w:rsidR="001B3F22">
        <w:t xml:space="preserve">useful evaluation experience </w:t>
      </w:r>
      <w:r w:rsidR="00D70F0C">
        <w:t>by implying national FCM legislations</w:t>
      </w:r>
      <w:r w:rsidR="004809B8">
        <w:t xml:space="preserve">. </w:t>
      </w:r>
      <w:r w:rsidR="008E56BE">
        <w:t>T</w:t>
      </w:r>
      <w:r w:rsidR="001B3F22">
        <w:t>his knowledge was deemed</w:t>
      </w:r>
      <w:r w:rsidR="007F6C90">
        <w:t xml:space="preserve"> profitable in order to anticipate future emergency situations</w:t>
      </w:r>
      <w:r w:rsidR="008E56BE">
        <w:t xml:space="preserve"> and was therefore collected in one document, the ESCO WG report</w:t>
      </w:r>
      <w:r w:rsidR="007F6C90">
        <w:t xml:space="preserve">. </w:t>
      </w:r>
      <w:r w:rsidR="00D70F0C">
        <w:t>Furthermore, i</w:t>
      </w:r>
      <w:r w:rsidR="008E56BE">
        <w:t xml:space="preserve">nformation included in </w:t>
      </w:r>
      <w:r w:rsidR="00F77619">
        <w:t xml:space="preserve">the </w:t>
      </w:r>
      <w:r w:rsidR="000E6EB4">
        <w:t>ESCO WG report</w:t>
      </w:r>
      <w:r w:rsidR="007F6C90">
        <w:t xml:space="preserve"> can also be used </w:t>
      </w:r>
      <w:r w:rsidR="00F153F7">
        <w:t>to</w:t>
      </w:r>
      <w:r w:rsidR="007F6C90">
        <w:t xml:space="preserve"> prioriti</w:t>
      </w:r>
      <w:r w:rsidR="00BA1CBD">
        <w:t>s</w:t>
      </w:r>
      <w:r w:rsidR="004809B8">
        <w:t>e</w:t>
      </w:r>
      <w:r w:rsidR="007F6C90">
        <w:t xml:space="preserve"> the </w:t>
      </w:r>
      <w:r w:rsidR="00F77619">
        <w:t xml:space="preserve">safety </w:t>
      </w:r>
      <w:r w:rsidR="007F6C90">
        <w:t xml:space="preserve">evaluation of </w:t>
      </w:r>
      <w:r w:rsidR="00314BF0">
        <w:t xml:space="preserve">FCM </w:t>
      </w:r>
      <w:r w:rsidR="007F6C90">
        <w:t>substances</w:t>
      </w:r>
      <w:r w:rsidR="00A12F5E">
        <w:t xml:space="preserve"> (</w:t>
      </w:r>
      <w:r w:rsidR="001B7F36">
        <w:t>EFSA, 2011</w:t>
      </w:r>
      <w:r w:rsidR="00C76D17">
        <w:t>a</w:t>
      </w:r>
      <w:r w:rsidR="00B9422F">
        <w:t>)</w:t>
      </w:r>
      <w:r w:rsidR="007F6C90">
        <w:t>.</w:t>
      </w:r>
      <w:r w:rsidR="001D08BC">
        <w:t xml:space="preserve"> </w:t>
      </w:r>
    </w:p>
    <w:p w:rsidR="009B3D9B" w:rsidRDefault="006F66D5" w:rsidP="00A12F5E">
      <w:pPr>
        <w:spacing w:after="0" w:line="480" w:lineRule="auto"/>
        <w:ind w:left="720"/>
        <w:jc w:val="both"/>
      </w:pPr>
      <w:r>
        <w:t xml:space="preserve">Seven FCM </w:t>
      </w:r>
      <w:r w:rsidR="00F153F7">
        <w:t>type</w:t>
      </w:r>
      <w:r w:rsidR="00A12F5E">
        <w:t>s</w:t>
      </w:r>
      <w:r>
        <w:t xml:space="preserve"> were </w:t>
      </w:r>
      <w:r w:rsidR="004809B8">
        <w:t>considered by the ESCO WG</w:t>
      </w:r>
      <w:r w:rsidR="001D7979">
        <w:t>,</w:t>
      </w:r>
      <w:r>
        <w:t xml:space="preserve"> including paper</w:t>
      </w:r>
      <w:r w:rsidR="00A12F5E">
        <w:t xml:space="preserve"> and board</w:t>
      </w:r>
      <w:r w:rsidR="00F77619">
        <w:t xml:space="preserve">. </w:t>
      </w:r>
      <w:r w:rsidR="00CB67E9">
        <w:t>Depending on the time of their</w:t>
      </w:r>
      <w:r w:rsidR="00FD03DD">
        <w:t xml:space="preserve"> safety</w:t>
      </w:r>
      <w:r w:rsidR="00CB67E9">
        <w:t xml:space="preserve"> evaluation, </w:t>
      </w:r>
      <w:r w:rsidR="00F77619">
        <w:t xml:space="preserve">substances </w:t>
      </w:r>
      <w:r w:rsidR="00CB67E9">
        <w:t xml:space="preserve">of each FCM </w:t>
      </w:r>
      <w:r w:rsidR="008E56BE">
        <w:t>type</w:t>
      </w:r>
      <w:r w:rsidR="00CB67E9">
        <w:t xml:space="preserve"> </w:t>
      </w:r>
      <w:r w:rsidR="00F77619">
        <w:t xml:space="preserve">were </w:t>
      </w:r>
      <w:r w:rsidR="00CB67E9">
        <w:t xml:space="preserve">further </w:t>
      </w:r>
      <w:r w:rsidR="00F77619">
        <w:t>div</w:t>
      </w:r>
      <w:r w:rsidR="000E6EB4">
        <w:t xml:space="preserve">ided into part A and B: </w:t>
      </w:r>
      <w:r w:rsidR="00D226A9">
        <w:t>after 1991 (when the first version of the Scientific Committee on Food guidelines was published)</w:t>
      </w:r>
      <w:r w:rsidR="000E6EB4">
        <w:t xml:space="preserve"> or</w:t>
      </w:r>
      <w:r w:rsidR="00D226A9">
        <w:t xml:space="preserve"> before 1991</w:t>
      </w:r>
      <w:r w:rsidR="000E6EB4">
        <w:t>, respectively</w:t>
      </w:r>
      <w:r w:rsidR="00C00DB2">
        <w:t xml:space="preserve"> (</w:t>
      </w:r>
      <w:r w:rsidR="00C76D17">
        <w:t>EFSA, 2011b</w:t>
      </w:r>
      <w:r w:rsidR="008E0BA6">
        <w:t>)</w:t>
      </w:r>
      <w:r w:rsidR="00A60972">
        <w:t>.</w:t>
      </w:r>
    </w:p>
    <w:p w:rsidR="00A96C84" w:rsidRPr="004F67C6" w:rsidRDefault="00A96C84" w:rsidP="00E241DA">
      <w:pPr>
        <w:pStyle w:val="ListParagraph"/>
        <w:spacing w:after="0" w:line="480" w:lineRule="auto"/>
        <w:ind w:left="1800"/>
        <w:jc w:val="both"/>
      </w:pPr>
    </w:p>
    <w:p w:rsidR="00A96C84" w:rsidRPr="00E52DEC" w:rsidRDefault="00A96C84" w:rsidP="009F5C20">
      <w:pPr>
        <w:pStyle w:val="ListParagraph"/>
        <w:numPr>
          <w:ilvl w:val="0"/>
          <w:numId w:val="3"/>
        </w:numPr>
        <w:spacing w:after="0" w:line="480" w:lineRule="auto"/>
        <w:jc w:val="both"/>
        <w:rPr>
          <w:b/>
          <w:i/>
        </w:rPr>
      </w:pPr>
      <w:r w:rsidRPr="00E52DEC">
        <w:rPr>
          <w:b/>
          <w:i/>
        </w:rPr>
        <w:t>Regulation (EU) No 10/2011 on plastic materials and articles intended to come into contact with food</w:t>
      </w:r>
      <w:r w:rsidR="009F5C20" w:rsidRPr="00E52DEC">
        <w:rPr>
          <w:b/>
          <w:i/>
        </w:rPr>
        <w:t xml:space="preserve"> </w:t>
      </w:r>
      <w:r w:rsidR="009F5C20" w:rsidRPr="00E52DEC">
        <w:rPr>
          <w:b/>
        </w:rPr>
        <w:t>(</w:t>
      </w:r>
      <w:r w:rsidR="00AA5ED7" w:rsidRPr="00E52DEC">
        <w:rPr>
          <w:b/>
        </w:rPr>
        <w:t>Union list</w:t>
      </w:r>
      <w:r w:rsidR="009F5C20" w:rsidRPr="00E52DEC">
        <w:rPr>
          <w:b/>
        </w:rPr>
        <w:t>)</w:t>
      </w:r>
    </w:p>
    <w:p w:rsidR="004F67C6" w:rsidRDefault="0079013A" w:rsidP="009F5C20">
      <w:pPr>
        <w:spacing w:after="0" w:line="480" w:lineRule="auto"/>
        <w:ind w:left="720"/>
        <w:jc w:val="both"/>
      </w:pPr>
      <w:r>
        <w:t>The</w:t>
      </w:r>
      <w:r w:rsidR="009F5C20">
        <w:t xml:space="preserve"> Union l</w:t>
      </w:r>
      <w:r w:rsidR="00B55CDC">
        <w:t>ist of authoris</w:t>
      </w:r>
      <w:r w:rsidR="00E9618A">
        <w:t xml:space="preserve">ed substances for plastic FCM applications has been established in 2011. </w:t>
      </w:r>
      <w:r w:rsidR="007A5779">
        <w:t>Some of t</w:t>
      </w:r>
      <w:r w:rsidR="00BD5B3B">
        <w:t>he evaluated substances have been allocated a SML</w:t>
      </w:r>
      <w:r w:rsidR="001D7979">
        <w:t>,</w:t>
      </w:r>
      <w:r w:rsidR="007A5779">
        <w:t xml:space="preserve"> reflecting their restricted use</w:t>
      </w:r>
      <w:r w:rsidR="001D7979">
        <w:t>. The</w:t>
      </w:r>
      <w:r w:rsidR="00BD5B3B">
        <w:t xml:space="preserve"> overall migration to food for all substances together</w:t>
      </w:r>
      <w:r w:rsidR="001D7979">
        <w:t>, however,</w:t>
      </w:r>
      <w:r w:rsidR="00BD5B3B">
        <w:t xml:space="preserve"> may not exceed the</w:t>
      </w:r>
      <w:r w:rsidR="00EF1C11">
        <w:t xml:space="preserve"> overall migration l</w:t>
      </w:r>
      <w:r w:rsidR="00BD5B3B">
        <w:t>imit (OML) set at 60 mg/kg food or 10 mg/dm</w:t>
      </w:r>
      <w:r w:rsidR="00BD5B3B" w:rsidRPr="00B168EE">
        <w:rPr>
          <w:vertAlign w:val="superscript"/>
        </w:rPr>
        <w:t>2</w:t>
      </w:r>
      <w:r w:rsidR="00BD5B3B">
        <w:t xml:space="preserve"> of the contact material</w:t>
      </w:r>
      <w:r w:rsidR="00C00DB2">
        <w:t xml:space="preserve"> (</w:t>
      </w:r>
      <w:r w:rsidR="00F9212F">
        <w:t>European Union, 2011</w:t>
      </w:r>
      <w:r w:rsidR="00C00DB2">
        <w:t>)</w:t>
      </w:r>
      <w:r w:rsidR="00BD5B3B">
        <w:t xml:space="preserve">. </w:t>
      </w:r>
      <w:r>
        <w:t xml:space="preserve">Substances included in the Union list of </w:t>
      </w:r>
      <w:r w:rsidR="007A5779">
        <w:t xml:space="preserve">Reg. (EU) No 10/2011 </w:t>
      </w:r>
      <w:r>
        <w:t xml:space="preserve">were added to the </w:t>
      </w:r>
      <w:r w:rsidR="005F79E2">
        <w:t>combined</w:t>
      </w:r>
      <w:r>
        <w:t xml:space="preserve"> inventory </w:t>
      </w:r>
      <w:r w:rsidR="007A5779">
        <w:t>s</w:t>
      </w:r>
      <w:r w:rsidR="00933F4F">
        <w:t>ince substances approved for usage</w:t>
      </w:r>
      <w:r w:rsidR="00EF1C11">
        <w:t xml:space="preserve"> in plastic FCM are likely to </w:t>
      </w:r>
      <w:r w:rsidR="00F153F7">
        <w:t xml:space="preserve">also </w:t>
      </w:r>
      <w:r w:rsidR="00EF1C11">
        <w:t>get approval</w:t>
      </w:r>
      <w:r w:rsidR="00933F4F">
        <w:t xml:space="preserve"> for the</w:t>
      </w:r>
      <w:r w:rsidR="007A5779">
        <w:t xml:space="preserve"> fabrication of non-plastic FCM.</w:t>
      </w:r>
      <w:r w:rsidR="00933F4F">
        <w:t xml:space="preserve"> </w:t>
      </w:r>
    </w:p>
    <w:p w:rsidR="006F1D11" w:rsidRDefault="006F1D11" w:rsidP="009F5C20">
      <w:pPr>
        <w:spacing w:after="0" w:line="480" w:lineRule="auto"/>
        <w:ind w:left="720"/>
        <w:jc w:val="both"/>
      </w:pPr>
    </w:p>
    <w:p w:rsidR="00BB109E" w:rsidRPr="007E5847" w:rsidRDefault="00BF55E0" w:rsidP="0087001D">
      <w:pPr>
        <w:pStyle w:val="ListParagraph"/>
        <w:numPr>
          <w:ilvl w:val="1"/>
          <w:numId w:val="8"/>
        </w:numPr>
        <w:spacing w:after="0" w:line="480" w:lineRule="auto"/>
        <w:jc w:val="both"/>
        <w:rPr>
          <w:b/>
        </w:rPr>
      </w:pPr>
      <w:r>
        <w:rPr>
          <w:b/>
        </w:rPr>
        <w:t xml:space="preserve"> </w:t>
      </w:r>
      <w:r w:rsidR="002A4568">
        <w:rPr>
          <w:b/>
        </w:rPr>
        <w:t xml:space="preserve">Investigation of </w:t>
      </w:r>
      <w:r w:rsidR="003844FC">
        <w:rPr>
          <w:b/>
        </w:rPr>
        <w:t xml:space="preserve">safety </w:t>
      </w:r>
      <w:r w:rsidR="0079013A" w:rsidRPr="007E5847">
        <w:rPr>
          <w:b/>
        </w:rPr>
        <w:t>evaluation status</w:t>
      </w:r>
    </w:p>
    <w:p w:rsidR="00BB109E" w:rsidRDefault="00BB109E" w:rsidP="00620E90">
      <w:pPr>
        <w:spacing w:after="0" w:line="480" w:lineRule="auto"/>
        <w:jc w:val="both"/>
      </w:pPr>
      <w:r>
        <w:t xml:space="preserve">As </w:t>
      </w:r>
      <w:r w:rsidR="0079013A">
        <w:t>discussed under 2.1.</w:t>
      </w:r>
      <w:r>
        <w:t xml:space="preserve">, </w:t>
      </w:r>
      <w:r w:rsidR="0079013A">
        <w:t>information on the</w:t>
      </w:r>
      <w:r w:rsidR="003844FC">
        <w:t xml:space="preserve"> safety</w:t>
      </w:r>
      <w:r>
        <w:t xml:space="preserve"> evaluation status</w:t>
      </w:r>
      <w:r w:rsidR="0079013A">
        <w:t xml:space="preserve"> </w:t>
      </w:r>
      <w:r w:rsidR="00AA57F3">
        <w:t>i</w:t>
      </w:r>
      <w:r w:rsidR="0079013A">
        <w:t>s included in the different documents listing substances used in printed paper and board FCM</w:t>
      </w:r>
      <w:r>
        <w:t xml:space="preserve">. </w:t>
      </w:r>
      <w:r w:rsidR="0079013A">
        <w:t>Based on this information,</w:t>
      </w:r>
      <w:r>
        <w:t xml:space="preserve"> substances </w:t>
      </w:r>
      <w:r w:rsidR="0079013A">
        <w:t xml:space="preserve">were classified </w:t>
      </w:r>
      <w:r>
        <w:t xml:space="preserve">either </w:t>
      </w:r>
      <w:r w:rsidR="004B3CA5">
        <w:t xml:space="preserve">as </w:t>
      </w:r>
      <w:r>
        <w:t>“evaluated” or “non-evaluated”</w:t>
      </w:r>
      <w:r w:rsidR="009A7B3A">
        <w:t xml:space="preserve"> (</w:t>
      </w:r>
      <w:r w:rsidR="000D089B" w:rsidRPr="00E52DEC">
        <w:rPr>
          <w:b/>
        </w:rPr>
        <w:t>Table 1</w:t>
      </w:r>
      <w:r w:rsidR="000D089B">
        <w:t>)</w:t>
      </w:r>
      <w:r>
        <w:t xml:space="preserve">. </w:t>
      </w:r>
    </w:p>
    <w:p w:rsidR="00B40F7D" w:rsidRDefault="00B40F7D" w:rsidP="00620E90">
      <w:pPr>
        <w:spacing w:after="0" w:line="480" w:lineRule="auto"/>
        <w:jc w:val="both"/>
      </w:pPr>
    </w:p>
    <w:p w:rsidR="00E52DEC" w:rsidRDefault="00E52DEC" w:rsidP="00620E90">
      <w:pPr>
        <w:spacing w:after="0" w:line="480" w:lineRule="auto"/>
        <w:jc w:val="both"/>
      </w:pPr>
    </w:p>
    <w:p w:rsidR="002A4568" w:rsidRPr="00B40F7D" w:rsidRDefault="00BF55E0" w:rsidP="002A4568">
      <w:pPr>
        <w:pStyle w:val="ListParagraph"/>
        <w:numPr>
          <w:ilvl w:val="1"/>
          <w:numId w:val="8"/>
        </w:numPr>
        <w:spacing w:after="0" w:line="480" w:lineRule="auto"/>
        <w:jc w:val="both"/>
        <w:rPr>
          <w:b/>
        </w:rPr>
      </w:pPr>
      <w:r>
        <w:rPr>
          <w:b/>
        </w:rPr>
        <w:lastRenderedPageBreak/>
        <w:t xml:space="preserve"> </w:t>
      </w:r>
      <w:r w:rsidR="002A4568" w:rsidRPr="00B40F7D">
        <w:rPr>
          <w:b/>
        </w:rPr>
        <w:t>Identification of substances and physicochemical data collection</w:t>
      </w:r>
    </w:p>
    <w:p w:rsidR="000A7F53" w:rsidRPr="00B40F7D" w:rsidRDefault="002A4568" w:rsidP="00620E90">
      <w:pPr>
        <w:spacing w:after="0" w:line="480" w:lineRule="auto"/>
        <w:jc w:val="both"/>
      </w:pPr>
      <w:r w:rsidRPr="00B40F7D">
        <w:t xml:space="preserve">Substances were classified into four groups, namely </w:t>
      </w:r>
      <w:proofErr w:type="spellStart"/>
      <w:r w:rsidRPr="00B40F7D">
        <w:t>i</w:t>
      </w:r>
      <w:proofErr w:type="spellEnd"/>
      <w:r w:rsidRPr="00B40F7D">
        <w:t>) single substances, ii) polymers, iii) mixtures and iv) other substances (e</w:t>
      </w:r>
      <w:r w:rsidR="005D083E" w:rsidRPr="00B40F7D">
        <w:t>.g. metal complexes and inorganic substances)</w:t>
      </w:r>
      <w:r w:rsidRPr="00B40F7D">
        <w:t>. Next, the combined inventory was enriched with a</w:t>
      </w:r>
      <w:r w:rsidR="004B3CA5" w:rsidRPr="00B40F7D">
        <w:t>dditional information</w:t>
      </w:r>
      <w:r w:rsidR="00B62EB4" w:rsidRPr="00B40F7D">
        <w:t xml:space="preserve"> regarding the identity and the physicochemical properties, retrieved </w:t>
      </w:r>
      <w:r w:rsidR="008138C7" w:rsidRPr="00B40F7D">
        <w:t xml:space="preserve">from </w:t>
      </w:r>
      <w:proofErr w:type="spellStart"/>
      <w:r w:rsidR="008138C7" w:rsidRPr="00B40F7D">
        <w:t>ChemSpider</w:t>
      </w:r>
      <w:proofErr w:type="spellEnd"/>
      <w:r w:rsidR="008138C7" w:rsidRPr="00B40F7D">
        <w:t xml:space="preserve"> (</w:t>
      </w:r>
      <w:r w:rsidR="00FE6D0F" w:rsidRPr="00B40F7D">
        <w:t>Royal Societies of Chemistry, 2016</w:t>
      </w:r>
      <w:r w:rsidR="000F77F5" w:rsidRPr="00B40F7D">
        <w:t xml:space="preserve">), </w:t>
      </w:r>
      <w:proofErr w:type="spellStart"/>
      <w:r w:rsidR="000F77F5" w:rsidRPr="00B40F7D">
        <w:t>ChemIDp</w:t>
      </w:r>
      <w:r w:rsidR="00BB6831" w:rsidRPr="00B40F7D">
        <w:t>lus</w:t>
      </w:r>
      <w:proofErr w:type="spellEnd"/>
      <w:r w:rsidR="00BB6831" w:rsidRPr="00B40F7D">
        <w:t xml:space="preserve"> </w:t>
      </w:r>
      <w:r w:rsidR="000F77F5" w:rsidRPr="00B40F7D">
        <w:t>(</w:t>
      </w:r>
      <w:r w:rsidR="00FE6D0F" w:rsidRPr="00B40F7D">
        <w:t>National Institutes of Health, 2016</w:t>
      </w:r>
      <w:r w:rsidR="000F77F5" w:rsidRPr="00B40F7D">
        <w:t xml:space="preserve">) and </w:t>
      </w:r>
      <w:r w:rsidR="007A2B57" w:rsidRPr="00B40F7D">
        <w:t xml:space="preserve">ECHA </w:t>
      </w:r>
      <w:r w:rsidR="00FE6D0F" w:rsidRPr="00B40F7D">
        <w:t>(ECHA, 2016</w:t>
      </w:r>
      <w:r w:rsidR="000F77F5" w:rsidRPr="00B40F7D">
        <w:t xml:space="preserve">) </w:t>
      </w:r>
      <w:r w:rsidR="00BB6831" w:rsidRPr="00B40F7D">
        <w:t>databases</w:t>
      </w:r>
      <w:r w:rsidR="004B3CA5" w:rsidRPr="00B40F7D">
        <w:t>.</w:t>
      </w:r>
      <w:r w:rsidR="00BB6831" w:rsidRPr="00B40F7D">
        <w:t xml:space="preserve"> </w:t>
      </w:r>
      <w:r w:rsidR="007B0BF6" w:rsidRPr="00B40F7D">
        <w:t xml:space="preserve">More specifically, </w:t>
      </w:r>
      <w:proofErr w:type="spellStart"/>
      <w:r w:rsidR="004D2240" w:rsidRPr="00B40F7D">
        <w:t>ChemSpider</w:t>
      </w:r>
      <w:proofErr w:type="spellEnd"/>
      <w:r w:rsidR="004D2240" w:rsidRPr="00B40F7D">
        <w:t xml:space="preserve"> was used as the primary information source</w:t>
      </w:r>
      <w:r w:rsidR="00B946D6" w:rsidRPr="00B40F7D">
        <w:t>,</w:t>
      </w:r>
      <w:r w:rsidR="007B0BF6" w:rsidRPr="00B40F7D">
        <w:t xml:space="preserve"> whereas</w:t>
      </w:r>
      <w:r w:rsidR="00CD3E27" w:rsidRPr="00B40F7D">
        <w:t xml:space="preserve"> </w:t>
      </w:r>
      <w:proofErr w:type="spellStart"/>
      <w:r w:rsidR="004D2240" w:rsidRPr="00B40F7D">
        <w:t>ChemIDplus</w:t>
      </w:r>
      <w:proofErr w:type="spellEnd"/>
      <w:r w:rsidR="004D2240" w:rsidRPr="00B40F7D">
        <w:t xml:space="preserve"> and/or</w:t>
      </w:r>
      <w:r w:rsidR="00CD3E27" w:rsidRPr="00B40F7D">
        <w:t xml:space="preserve"> the ECHA database was</w:t>
      </w:r>
      <w:r w:rsidR="004D2240" w:rsidRPr="00B40F7D">
        <w:t xml:space="preserve"> consulted</w:t>
      </w:r>
      <w:r w:rsidR="007B0BF6" w:rsidRPr="00B40F7D">
        <w:t xml:space="preserve"> in case </w:t>
      </w:r>
      <w:proofErr w:type="spellStart"/>
      <w:r w:rsidR="007B0BF6" w:rsidRPr="00B40F7D">
        <w:t>ChemSpider</w:t>
      </w:r>
      <w:proofErr w:type="spellEnd"/>
      <w:r w:rsidR="007B0BF6" w:rsidRPr="00B40F7D">
        <w:t xml:space="preserve"> yielded no or ambiguous results</w:t>
      </w:r>
      <w:r w:rsidR="004D2240" w:rsidRPr="00B40F7D">
        <w:t xml:space="preserve">. </w:t>
      </w:r>
    </w:p>
    <w:p w:rsidR="00347669" w:rsidRDefault="005658BC" w:rsidP="00DF5E5A">
      <w:pPr>
        <w:spacing w:after="0" w:line="480" w:lineRule="auto"/>
        <w:jc w:val="both"/>
      </w:pPr>
      <w:r w:rsidRPr="00B40F7D">
        <w:t>S</w:t>
      </w:r>
      <w:r w:rsidR="000F77F5" w:rsidRPr="00B40F7D">
        <w:t>upplementary identification data w</w:t>
      </w:r>
      <w:r w:rsidR="003F5C4F" w:rsidRPr="00B40F7D">
        <w:t>ere</w:t>
      </w:r>
      <w:r w:rsidRPr="00B40F7D">
        <w:t xml:space="preserve"> add</w:t>
      </w:r>
      <w:r w:rsidR="000F77F5" w:rsidRPr="00B40F7D">
        <w:t xml:space="preserve">ed </w:t>
      </w:r>
      <w:r w:rsidR="007B0BF6" w:rsidRPr="00B40F7D">
        <w:t>for all substances,</w:t>
      </w:r>
      <w:r w:rsidR="00347669" w:rsidRPr="00B40F7D">
        <w:t xml:space="preserve"> </w:t>
      </w:r>
      <w:r w:rsidR="000F77F5" w:rsidRPr="00B40F7D">
        <w:t>to avoid ambiguity for substances with multiple CAS numbers and/or names</w:t>
      </w:r>
      <w:r w:rsidR="004A432D" w:rsidRPr="00B40F7D">
        <w:t>.</w:t>
      </w:r>
      <w:r w:rsidR="004A432D">
        <w:t xml:space="preserve"> These consisted of</w:t>
      </w:r>
      <w:r w:rsidR="00347669">
        <w:t>:</w:t>
      </w:r>
    </w:p>
    <w:p w:rsidR="00DF5E5A" w:rsidRDefault="00DF5E5A" w:rsidP="007D4CC1">
      <w:pPr>
        <w:pStyle w:val="ListParagraph"/>
        <w:numPr>
          <w:ilvl w:val="0"/>
          <w:numId w:val="6"/>
        </w:numPr>
        <w:spacing w:after="0" w:line="480" w:lineRule="auto"/>
        <w:jc w:val="both"/>
      </w:pPr>
      <w:r>
        <w:t>EC number</w:t>
      </w:r>
    </w:p>
    <w:p w:rsidR="00347669" w:rsidRDefault="00347669" w:rsidP="007D4CC1">
      <w:pPr>
        <w:pStyle w:val="ListParagraph"/>
        <w:numPr>
          <w:ilvl w:val="0"/>
          <w:numId w:val="6"/>
        </w:numPr>
        <w:spacing w:after="0" w:line="480" w:lineRule="auto"/>
        <w:jc w:val="both"/>
      </w:pPr>
      <w:r>
        <w:t xml:space="preserve">Synonyms </w:t>
      </w:r>
    </w:p>
    <w:p w:rsidR="00347669" w:rsidRDefault="00347669" w:rsidP="007D4CC1">
      <w:pPr>
        <w:pStyle w:val="ListParagraph"/>
        <w:numPr>
          <w:ilvl w:val="0"/>
          <w:numId w:val="6"/>
        </w:numPr>
        <w:spacing w:after="0" w:line="480" w:lineRule="auto"/>
        <w:jc w:val="both"/>
      </w:pPr>
      <w:r>
        <w:t>Molecular formula</w:t>
      </w:r>
    </w:p>
    <w:p w:rsidR="000F77F5" w:rsidRDefault="005658BC" w:rsidP="00620E90">
      <w:pPr>
        <w:spacing w:after="0" w:line="480" w:lineRule="auto"/>
        <w:jc w:val="both"/>
      </w:pPr>
      <w:r w:rsidRPr="00226C39">
        <w:t>P</w:t>
      </w:r>
      <w:r w:rsidR="000F77F5" w:rsidRPr="00226C39">
        <w:t xml:space="preserve">hysicochemical data </w:t>
      </w:r>
      <w:r w:rsidR="00EE344F" w:rsidRPr="00226C39">
        <w:t xml:space="preserve">were </w:t>
      </w:r>
      <w:r w:rsidR="003E04A5" w:rsidRPr="00226C39">
        <w:t>added</w:t>
      </w:r>
      <w:r w:rsidR="00291FA4" w:rsidRPr="00226C39">
        <w:t xml:space="preserve"> only</w:t>
      </w:r>
      <w:r w:rsidR="00EE344F" w:rsidRPr="00226C39">
        <w:t xml:space="preserve"> for </w:t>
      </w:r>
      <w:r w:rsidR="00291FA4" w:rsidRPr="00226C39">
        <w:t>the</w:t>
      </w:r>
      <w:r w:rsidR="00EE344F" w:rsidRPr="00226C39">
        <w:t xml:space="preserve"> non-evaluated single </w:t>
      </w:r>
      <w:r w:rsidR="000F77F5" w:rsidRPr="00226C39">
        <w:t>substances</w:t>
      </w:r>
      <w:r w:rsidR="00EE344F" w:rsidRPr="00226C39">
        <w:t>.</w:t>
      </w:r>
      <w:r w:rsidR="008249C5" w:rsidRPr="00226C39">
        <w:t xml:space="preserve"> </w:t>
      </w:r>
      <w:r w:rsidR="004A432D" w:rsidRPr="00226C39">
        <w:t>T</w:t>
      </w:r>
      <w:r w:rsidR="00EE344F" w:rsidRPr="00226C39">
        <w:t xml:space="preserve">o estimate whether the substances </w:t>
      </w:r>
      <w:r w:rsidR="00C066F4" w:rsidRPr="00226C39">
        <w:t>have the potential to</w:t>
      </w:r>
      <w:r w:rsidR="00466016" w:rsidRPr="00226C39">
        <w:t xml:space="preserve"> migrate and</w:t>
      </w:r>
      <w:r w:rsidR="000F77F5" w:rsidRPr="00226C39">
        <w:t xml:space="preserve"> </w:t>
      </w:r>
      <w:r w:rsidR="00EE344F" w:rsidRPr="00226C39">
        <w:t>become</w:t>
      </w:r>
      <w:r w:rsidR="00466016" w:rsidRPr="00226C39">
        <w:t xml:space="preserve"> </w:t>
      </w:r>
      <w:r w:rsidR="00A72E73" w:rsidRPr="00226C39">
        <w:t>bioavailable after oral intake</w:t>
      </w:r>
      <w:r w:rsidR="004A432D" w:rsidRPr="00226C39">
        <w:t xml:space="preserve">, the following </w:t>
      </w:r>
      <w:r w:rsidR="00291FA4" w:rsidRPr="00226C39">
        <w:t xml:space="preserve">physicochemical </w:t>
      </w:r>
      <w:r w:rsidR="004A432D" w:rsidRPr="00226C39">
        <w:t>parameters were</w:t>
      </w:r>
      <w:r w:rsidR="004A432D">
        <w:t xml:space="preserve"> used:</w:t>
      </w:r>
      <w:r w:rsidR="00A72E73">
        <w:t xml:space="preserve"> </w:t>
      </w:r>
    </w:p>
    <w:p w:rsidR="004C5697" w:rsidRPr="00C16471" w:rsidRDefault="004C5697" w:rsidP="00620E90">
      <w:pPr>
        <w:pStyle w:val="ListParagraph"/>
        <w:numPr>
          <w:ilvl w:val="0"/>
          <w:numId w:val="3"/>
        </w:numPr>
        <w:spacing w:after="0" w:line="480" w:lineRule="auto"/>
        <w:jc w:val="both"/>
      </w:pPr>
      <w:r>
        <w:t>Molecular weight</w:t>
      </w:r>
      <w:r w:rsidR="00DF35E8">
        <w:t xml:space="preserve">; migration </w:t>
      </w:r>
      <w:r w:rsidR="00AC6A15">
        <w:t>is</w:t>
      </w:r>
      <w:r w:rsidR="00DF35E8">
        <w:t xml:space="preserve"> likely if the molecular weight is &lt; 1000 g/</w:t>
      </w:r>
      <w:proofErr w:type="spellStart"/>
      <w:r w:rsidR="00DF35E8">
        <w:t>mol</w:t>
      </w:r>
      <w:proofErr w:type="spellEnd"/>
      <w:r w:rsidR="00A23F84">
        <w:t xml:space="preserve"> </w:t>
      </w:r>
      <w:r w:rsidR="0075164D" w:rsidRPr="00C16471">
        <w:t>(</w:t>
      </w:r>
      <w:r w:rsidR="00C16471" w:rsidRPr="00C16471">
        <w:t xml:space="preserve">de Fatima </w:t>
      </w:r>
      <w:proofErr w:type="spellStart"/>
      <w:r w:rsidR="00C16471" w:rsidRPr="00C16471">
        <w:t>Poças</w:t>
      </w:r>
      <w:proofErr w:type="spellEnd"/>
      <w:r w:rsidR="00C16471">
        <w:t xml:space="preserve"> </w:t>
      </w:r>
      <w:r w:rsidR="000030A5">
        <w:t>and Hogg</w:t>
      </w:r>
      <w:r w:rsidR="00C16471" w:rsidRPr="00C16471">
        <w:t xml:space="preserve">, 2007; </w:t>
      </w:r>
      <w:proofErr w:type="spellStart"/>
      <w:r w:rsidR="00C16471" w:rsidRPr="00C16471">
        <w:t>Nerin</w:t>
      </w:r>
      <w:proofErr w:type="spellEnd"/>
      <w:r w:rsidR="00C16471">
        <w:t xml:space="preserve"> et al.</w:t>
      </w:r>
      <w:r w:rsidR="00C16471" w:rsidRPr="00C16471">
        <w:t>, 2013</w:t>
      </w:r>
      <w:r w:rsidR="00A23F84" w:rsidRPr="00C16471">
        <w:t>)</w:t>
      </w:r>
      <w:r w:rsidR="00291FA4">
        <w:t>.</w:t>
      </w:r>
    </w:p>
    <w:p w:rsidR="004C5697" w:rsidRDefault="0088506F" w:rsidP="00941D6B">
      <w:pPr>
        <w:pStyle w:val="ListParagraph"/>
        <w:numPr>
          <w:ilvl w:val="0"/>
          <w:numId w:val="3"/>
        </w:numPr>
        <w:spacing w:after="0" w:line="480" w:lineRule="auto"/>
        <w:jc w:val="both"/>
      </w:pPr>
      <w:r>
        <w:t>Number</w:t>
      </w:r>
      <w:r w:rsidR="004C5697">
        <w:t xml:space="preserve"> of </w:t>
      </w:r>
      <w:r w:rsidR="00357EE7">
        <w:t>“</w:t>
      </w:r>
      <w:r w:rsidR="004C5697">
        <w:t>Lipinski rule of 5</w:t>
      </w:r>
      <w:r w:rsidR="00357EE7" w:rsidRPr="00C16471">
        <w:t>”</w:t>
      </w:r>
      <w:r w:rsidR="004C5697" w:rsidRPr="00C16471">
        <w:t xml:space="preserve"> </w:t>
      </w:r>
      <w:r w:rsidR="00C16471" w:rsidRPr="00C16471">
        <w:t xml:space="preserve">(Lipinski et al., 1997) </w:t>
      </w:r>
      <w:r w:rsidR="004C5697" w:rsidRPr="00C16471">
        <w:t>violations</w:t>
      </w:r>
      <w:r w:rsidR="00DF35E8" w:rsidRPr="00C16471">
        <w:t>;</w:t>
      </w:r>
      <w:r w:rsidR="00AA57F3" w:rsidRPr="00C16471">
        <w:t xml:space="preserve"> </w:t>
      </w:r>
      <w:r w:rsidR="00DF35E8" w:rsidRPr="00C16471">
        <w:t xml:space="preserve">bioavailability is likely if the substance </w:t>
      </w:r>
      <w:r w:rsidR="00357EE7" w:rsidRPr="00C16471">
        <w:t>has ≤</w:t>
      </w:r>
      <w:r w:rsidR="00DF35E8" w:rsidRPr="00C16471">
        <w:t xml:space="preserve"> 1 violation of the following criteria</w:t>
      </w:r>
      <w:r w:rsidR="00C16471" w:rsidRPr="00C16471">
        <w:t xml:space="preserve"> (</w:t>
      </w:r>
      <w:proofErr w:type="spellStart"/>
      <w:r w:rsidR="00C16471" w:rsidRPr="00C16471">
        <w:t>Schilter</w:t>
      </w:r>
      <w:proofErr w:type="spellEnd"/>
      <w:r w:rsidR="00C16471" w:rsidRPr="00C16471">
        <w:t xml:space="preserve"> et al., 2013)</w:t>
      </w:r>
      <w:r w:rsidR="00DF35E8" w:rsidRPr="00C16471">
        <w:t>: a</w:t>
      </w:r>
      <w:r w:rsidR="00DF35E8" w:rsidRPr="00941D6B">
        <w:t xml:space="preserve"> molecular weight ≤ 500 g/</w:t>
      </w:r>
      <w:proofErr w:type="spellStart"/>
      <w:r w:rsidR="00DF35E8" w:rsidRPr="00941D6B">
        <w:t>mol</w:t>
      </w:r>
      <w:proofErr w:type="spellEnd"/>
      <w:r w:rsidR="00DF35E8" w:rsidRPr="00941D6B">
        <w:t xml:space="preserve">, a log P ≤ 5, maximum 5-H bond donors and maximum 10 H-bond acceptors. </w:t>
      </w:r>
    </w:p>
    <w:p w:rsidR="009335A1" w:rsidRPr="00FA1E7C" w:rsidRDefault="009335A1" w:rsidP="009335A1">
      <w:pPr>
        <w:pStyle w:val="ListParagraph"/>
        <w:numPr>
          <w:ilvl w:val="0"/>
          <w:numId w:val="3"/>
        </w:numPr>
        <w:spacing w:after="0" w:line="480" w:lineRule="auto"/>
        <w:jc w:val="both"/>
      </w:pPr>
      <w:r w:rsidRPr="00FA1E7C">
        <w:t xml:space="preserve">Polar surface area; bioavailability is likely if this parameter has a value ≤ 140 </w:t>
      </w:r>
      <w:proofErr w:type="spellStart"/>
      <w:r w:rsidRPr="00FA1E7C">
        <w:t>Angström</w:t>
      </w:r>
      <w:proofErr w:type="spellEnd"/>
      <w:r w:rsidRPr="00FA1E7C">
        <w:t xml:space="preserve"> (</w:t>
      </w:r>
      <w:proofErr w:type="spellStart"/>
      <w:r w:rsidRPr="00FA1E7C">
        <w:t>Ghose</w:t>
      </w:r>
      <w:proofErr w:type="spellEnd"/>
      <w:r w:rsidRPr="00FA1E7C">
        <w:t xml:space="preserve"> et al., 1999; </w:t>
      </w:r>
      <w:proofErr w:type="spellStart"/>
      <w:r w:rsidRPr="00FA1E7C">
        <w:t>Veber</w:t>
      </w:r>
      <w:proofErr w:type="spellEnd"/>
      <w:r w:rsidRPr="00FA1E7C">
        <w:t xml:space="preserve"> et al., 2002)</w:t>
      </w:r>
      <w:r w:rsidR="00291FA4">
        <w:t>.</w:t>
      </w:r>
    </w:p>
    <w:p w:rsidR="004C5697" w:rsidRPr="00FA1E7C" w:rsidRDefault="0088506F" w:rsidP="00620E90">
      <w:pPr>
        <w:pStyle w:val="ListParagraph"/>
        <w:numPr>
          <w:ilvl w:val="0"/>
          <w:numId w:val="3"/>
        </w:numPr>
        <w:spacing w:after="0" w:line="480" w:lineRule="auto"/>
        <w:jc w:val="both"/>
      </w:pPr>
      <w:r>
        <w:t>Number</w:t>
      </w:r>
      <w:r w:rsidR="004C5697">
        <w:t xml:space="preserve"> of rotating bonds</w:t>
      </w:r>
      <w:r w:rsidR="00357EE7">
        <w:t xml:space="preserve">; bioavailability is likely if this number is ≤ </w:t>
      </w:r>
      <w:r w:rsidR="00357EE7" w:rsidRPr="00FA1E7C">
        <w:t>10</w:t>
      </w:r>
      <w:r w:rsidR="00A34DE4" w:rsidRPr="00FA1E7C">
        <w:t xml:space="preserve"> (</w:t>
      </w:r>
      <w:proofErr w:type="spellStart"/>
      <w:r w:rsidR="00FA1E7C" w:rsidRPr="00FA1E7C">
        <w:t>Veber</w:t>
      </w:r>
      <w:proofErr w:type="spellEnd"/>
      <w:r w:rsidR="00FA1E7C" w:rsidRPr="00FA1E7C">
        <w:t xml:space="preserve"> et al., 2002</w:t>
      </w:r>
      <w:r w:rsidR="00A34DE4" w:rsidRPr="00FA1E7C">
        <w:t>)</w:t>
      </w:r>
      <w:r w:rsidR="00291FA4">
        <w:t>.</w:t>
      </w:r>
    </w:p>
    <w:p w:rsidR="000F77F5" w:rsidRDefault="004A432D" w:rsidP="0088506F">
      <w:pPr>
        <w:spacing w:after="0" w:line="480" w:lineRule="auto"/>
        <w:jc w:val="both"/>
      </w:pPr>
      <w:r>
        <w:t>Substances that have a low bioavailability are unlikely to exert a toxicological effect.</w:t>
      </w:r>
    </w:p>
    <w:p w:rsidR="00642FF7" w:rsidRDefault="00642FF7" w:rsidP="0088506F">
      <w:pPr>
        <w:spacing w:after="0" w:line="480" w:lineRule="auto"/>
        <w:jc w:val="both"/>
      </w:pPr>
    </w:p>
    <w:p w:rsidR="00642FF7" w:rsidRPr="007E5847" w:rsidRDefault="000717CE" w:rsidP="00642FF7">
      <w:pPr>
        <w:pStyle w:val="ListParagraph"/>
        <w:numPr>
          <w:ilvl w:val="1"/>
          <w:numId w:val="8"/>
        </w:numPr>
        <w:spacing w:after="0" w:line="480" w:lineRule="auto"/>
        <w:jc w:val="both"/>
        <w:rPr>
          <w:b/>
        </w:rPr>
      </w:pPr>
      <w:r>
        <w:rPr>
          <w:b/>
        </w:rPr>
        <w:lastRenderedPageBreak/>
        <w:t xml:space="preserve"> </w:t>
      </w:r>
      <w:r w:rsidR="00642FF7">
        <w:rPr>
          <w:b/>
        </w:rPr>
        <w:t>Investigation of FACET status</w:t>
      </w:r>
    </w:p>
    <w:p w:rsidR="004A432D" w:rsidRDefault="00022647" w:rsidP="0088506F">
      <w:pPr>
        <w:spacing w:after="0" w:line="480" w:lineRule="auto"/>
        <w:jc w:val="both"/>
      </w:pPr>
      <w:r>
        <w:t>The FACET tool</w:t>
      </w:r>
      <w:r w:rsidR="00543DC4">
        <w:t xml:space="preserve"> can be downloaded</w:t>
      </w:r>
      <w:r w:rsidR="00460159">
        <w:t xml:space="preserve"> for free</w:t>
      </w:r>
      <w:r w:rsidR="00543DC4">
        <w:t xml:space="preserve"> from the </w:t>
      </w:r>
      <w:r w:rsidR="00460159">
        <w:t>corresponding FACET</w:t>
      </w:r>
      <w:r w:rsidR="00543DC4">
        <w:t xml:space="preserve"> project website (</w:t>
      </w:r>
      <w:hyperlink r:id="rId10" w:history="1">
        <w:r w:rsidR="00543DC4" w:rsidRPr="003436B5">
          <w:rPr>
            <w:rStyle w:val="Hyperlink"/>
          </w:rPr>
          <w:t>http://expofacts.jrc.ec.europa.eu/facet/login.php</w:t>
        </w:r>
      </w:hyperlink>
      <w:r w:rsidR="00543DC4">
        <w:t>) and</w:t>
      </w:r>
      <w:r>
        <w:t xml:space="preserve"> contains, among others, a list of substances used for </w:t>
      </w:r>
      <w:r w:rsidR="00511EC3">
        <w:t xml:space="preserve">the manufacture of primary </w:t>
      </w:r>
      <w:r>
        <w:t>packaging</w:t>
      </w:r>
      <w:r w:rsidR="00511EC3">
        <w:t xml:space="preserve"> FCM</w:t>
      </w:r>
      <w:r>
        <w:t xml:space="preserve">. For the non-evaluated single substances </w:t>
      </w:r>
      <w:r w:rsidR="00433060">
        <w:t xml:space="preserve">with </w:t>
      </w:r>
      <w:r w:rsidR="00433060" w:rsidRPr="00226C39">
        <w:t>the potential</w:t>
      </w:r>
      <w:r w:rsidRPr="00226C39">
        <w:t xml:space="preserve"> to migrate</w:t>
      </w:r>
      <w:r>
        <w:t xml:space="preserve"> and become bioavailable based on their physicochemical p</w:t>
      </w:r>
      <w:r w:rsidR="00511EC3">
        <w:t>ropertie</w:t>
      </w:r>
      <w:r>
        <w:t>s as discussed in 2.3</w:t>
      </w:r>
      <w:r w:rsidR="005768BA">
        <w:t>.</w:t>
      </w:r>
      <w:r>
        <w:t xml:space="preserve">, </w:t>
      </w:r>
      <w:r w:rsidR="005768BA">
        <w:t xml:space="preserve">their presence among the </w:t>
      </w:r>
      <w:r>
        <w:t xml:space="preserve">5744 </w:t>
      </w:r>
      <w:r w:rsidR="00511EC3">
        <w:t xml:space="preserve">packaging </w:t>
      </w:r>
      <w:r>
        <w:t xml:space="preserve">compounds included in the </w:t>
      </w:r>
      <w:r w:rsidR="00511EC3">
        <w:t xml:space="preserve">FACET </w:t>
      </w:r>
      <w:r>
        <w:t>tool</w:t>
      </w:r>
      <w:r w:rsidR="00543DC4">
        <w:t xml:space="preserve"> was checked</w:t>
      </w:r>
      <w:r>
        <w:t>.</w:t>
      </w:r>
    </w:p>
    <w:p w:rsidR="00642FF7" w:rsidRDefault="00642FF7" w:rsidP="0088506F">
      <w:pPr>
        <w:spacing w:after="0" w:line="480" w:lineRule="auto"/>
        <w:jc w:val="both"/>
      </w:pPr>
    </w:p>
    <w:p w:rsidR="00E13156" w:rsidRPr="00226C39" w:rsidRDefault="000717CE" w:rsidP="00E13156">
      <w:pPr>
        <w:pStyle w:val="ListParagraph"/>
        <w:numPr>
          <w:ilvl w:val="1"/>
          <w:numId w:val="8"/>
        </w:numPr>
        <w:spacing w:after="0" w:line="480" w:lineRule="auto"/>
        <w:jc w:val="both"/>
        <w:rPr>
          <w:b/>
        </w:rPr>
      </w:pPr>
      <w:r>
        <w:rPr>
          <w:b/>
        </w:rPr>
        <w:t xml:space="preserve"> </w:t>
      </w:r>
      <w:r w:rsidR="00E13156" w:rsidRPr="00226C39">
        <w:rPr>
          <w:b/>
        </w:rPr>
        <w:t xml:space="preserve">Investigation of </w:t>
      </w:r>
      <w:r w:rsidR="001E1F34" w:rsidRPr="00226C39">
        <w:rPr>
          <w:b/>
        </w:rPr>
        <w:t xml:space="preserve">REACH </w:t>
      </w:r>
      <w:r w:rsidR="00AC1FD8" w:rsidRPr="00226C39">
        <w:rPr>
          <w:b/>
        </w:rPr>
        <w:t>registration</w:t>
      </w:r>
      <w:r w:rsidR="001E1F34" w:rsidRPr="00226C39">
        <w:rPr>
          <w:b/>
        </w:rPr>
        <w:t xml:space="preserve"> </w:t>
      </w:r>
      <w:r w:rsidR="00D556C8" w:rsidRPr="00226C39">
        <w:rPr>
          <w:b/>
        </w:rPr>
        <w:t xml:space="preserve">status </w:t>
      </w:r>
      <w:r w:rsidR="007E56F9" w:rsidRPr="00226C39">
        <w:rPr>
          <w:b/>
        </w:rPr>
        <w:t xml:space="preserve">and </w:t>
      </w:r>
      <w:r w:rsidR="00E17C74" w:rsidRPr="00226C39">
        <w:rPr>
          <w:b/>
        </w:rPr>
        <w:t>inclusion in ECHA lists</w:t>
      </w:r>
      <w:r w:rsidR="007E56F9" w:rsidRPr="00226C39">
        <w:rPr>
          <w:b/>
        </w:rPr>
        <w:t xml:space="preserve"> </w:t>
      </w:r>
    </w:p>
    <w:p w:rsidR="00136DCA" w:rsidRDefault="00AC1FD8" w:rsidP="00006B2C">
      <w:pPr>
        <w:spacing w:after="0" w:line="480" w:lineRule="auto"/>
        <w:jc w:val="both"/>
      </w:pPr>
      <w:r w:rsidRPr="00226C39">
        <w:t xml:space="preserve">In 2007, the EU adopted the </w:t>
      </w:r>
      <w:r w:rsidR="00664AE5" w:rsidRPr="00226C39">
        <w:t>REACH</w:t>
      </w:r>
      <w:r w:rsidRPr="00226C39">
        <w:t xml:space="preserve"> </w:t>
      </w:r>
      <w:r w:rsidR="006610E3" w:rsidRPr="00226C39">
        <w:t xml:space="preserve">(Registration, Evaluation, Authorisation and Restriction of Chemicals) </w:t>
      </w:r>
      <w:r w:rsidRPr="00226C39">
        <w:t>regulation, imposing companies to identify and manage potential risks related to substances manufacture</w:t>
      </w:r>
      <w:r w:rsidR="00440AD3" w:rsidRPr="00226C39">
        <w:t>d</w:t>
      </w:r>
      <w:r w:rsidRPr="00226C39">
        <w:t xml:space="preserve"> and market</w:t>
      </w:r>
      <w:r w:rsidR="00440AD3" w:rsidRPr="00226C39">
        <w:t>ed</w:t>
      </w:r>
      <w:r w:rsidRPr="00226C39">
        <w:t xml:space="preserve"> in the EU</w:t>
      </w:r>
      <w:r w:rsidR="004E49B2" w:rsidRPr="00226C39">
        <w:t xml:space="preserve"> at a level of 1 ton/year or more</w:t>
      </w:r>
      <w:r w:rsidR="006610E3" w:rsidRPr="00226C39">
        <w:t xml:space="preserve"> (European Union</w:t>
      </w:r>
      <w:r w:rsidR="00E32193" w:rsidRPr="00226C39">
        <w:t>,</w:t>
      </w:r>
      <w:r w:rsidR="006610E3" w:rsidRPr="00226C39">
        <w:t xml:space="preserve"> 2006)</w:t>
      </w:r>
      <w:r w:rsidRPr="00226C39">
        <w:t xml:space="preserve">. </w:t>
      </w:r>
      <w:r w:rsidR="004E49B2" w:rsidRPr="00226C39">
        <w:t>T</w:t>
      </w:r>
      <w:r w:rsidRPr="00226C39">
        <w:t>he safe use of the</w:t>
      </w:r>
      <w:r w:rsidR="00490895" w:rsidRPr="00226C39">
        <w:t xml:space="preserve"> affected</w:t>
      </w:r>
      <w:r w:rsidRPr="00226C39">
        <w:t xml:space="preserve"> substance</w:t>
      </w:r>
      <w:r w:rsidR="00490895" w:rsidRPr="00226C39">
        <w:t>s</w:t>
      </w:r>
      <w:r w:rsidR="004E49B2" w:rsidRPr="00226C39">
        <w:t xml:space="preserve"> has to be demonstrated</w:t>
      </w:r>
      <w:r w:rsidRPr="00226C39">
        <w:t xml:space="preserve">, </w:t>
      </w:r>
      <w:r w:rsidR="00601716" w:rsidRPr="00226C39">
        <w:t xml:space="preserve">and </w:t>
      </w:r>
      <w:r w:rsidRPr="00226C39">
        <w:t>risk management measures</w:t>
      </w:r>
      <w:r w:rsidR="00601716" w:rsidRPr="00226C39">
        <w:t xml:space="preserve"> have to be communicated</w:t>
      </w:r>
      <w:r w:rsidRPr="00226C39">
        <w:t>.</w:t>
      </w:r>
      <w:r w:rsidR="004E49B2" w:rsidRPr="00226C39">
        <w:t xml:space="preserve"> The</w:t>
      </w:r>
      <w:r w:rsidR="00601716" w:rsidRPr="00226C39">
        <w:t xml:space="preserve"> requested information is submitted to ECHA and </w:t>
      </w:r>
      <w:r w:rsidR="004E49B2" w:rsidRPr="00226C39">
        <w:t xml:space="preserve">publically </w:t>
      </w:r>
      <w:r w:rsidR="004E49B2" w:rsidRPr="008E74D1">
        <w:t>available through</w:t>
      </w:r>
      <w:r w:rsidRPr="008E74D1">
        <w:t xml:space="preserve"> </w:t>
      </w:r>
      <w:r w:rsidR="00601716" w:rsidRPr="008E74D1">
        <w:t>their</w:t>
      </w:r>
      <w:r w:rsidR="004E49B2" w:rsidRPr="008E74D1">
        <w:t xml:space="preserve"> website </w:t>
      </w:r>
      <w:r w:rsidRPr="008E74D1">
        <w:t>(ECHA, 2016).</w:t>
      </w:r>
      <w:r w:rsidR="004E49B2" w:rsidRPr="008E74D1">
        <w:t xml:space="preserve"> </w:t>
      </w:r>
      <w:r w:rsidR="00420FC1" w:rsidRPr="008E74D1">
        <w:t>In the present study, t</w:t>
      </w:r>
      <w:r w:rsidR="004E49B2" w:rsidRPr="008E74D1">
        <w:t>he ECHA</w:t>
      </w:r>
      <w:r w:rsidR="00601716" w:rsidRPr="008E74D1">
        <w:t xml:space="preserve"> website</w:t>
      </w:r>
      <w:r w:rsidR="004E49B2" w:rsidRPr="008E74D1">
        <w:t xml:space="preserve"> was consulted to investigate </w:t>
      </w:r>
      <w:r w:rsidR="008215E3" w:rsidRPr="008E74D1">
        <w:t>whether or not</w:t>
      </w:r>
      <w:r w:rsidR="004E49B2" w:rsidRPr="008E74D1">
        <w:t xml:space="preserve"> the non-evaluated single substances </w:t>
      </w:r>
      <w:r w:rsidR="00C34C52" w:rsidRPr="008E74D1">
        <w:t xml:space="preserve">selected </w:t>
      </w:r>
      <w:r w:rsidR="00DB5B9F" w:rsidRPr="008E74D1">
        <w:t>based on their occurrence in the FACET tool</w:t>
      </w:r>
      <w:r w:rsidR="006610E3" w:rsidRPr="008E74D1">
        <w:t xml:space="preserve"> (2.4)</w:t>
      </w:r>
      <w:r w:rsidR="00DB5B9F" w:rsidRPr="008E74D1">
        <w:t xml:space="preserve">, </w:t>
      </w:r>
      <w:r w:rsidR="004E49B2" w:rsidRPr="008E74D1">
        <w:t>are registered under the REACH regulation</w:t>
      </w:r>
      <w:r w:rsidR="001D1D53" w:rsidRPr="008E74D1">
        <w:t xml:space="preserve">. </w:t>
      </w:r>
      <w:r w:rsidR="00241E78" w:rsidRPr="008E74D1">
        <w:t>Additionally, f</w:t>
      </w:r>
      <w:r w:rsidR="00420FC1" w:rsidRPr="008E74D1">
        <w:t xml:space="preserve">or </w:t>
      </w:r>
      <w:r w:rsidR="006610E3" w:rsidRPr="008E74D1">
        <w:t xml:space="preserve">the registered </w:t>
      </w:r>
      <w:r w:rsidR="00136DCA" w:rsidRPr="008E74D1">
        <w:t>substances</w:t>
      </w:r>
      <w:r w:rsidR="00420FC1" w:rsidRPr="008E74D1">
        <w:t xml:space="preserve">, </w:t>
      </w:r>
      <w:r w:rsidR="007B2C25" w:rsidRPr="008E74D1">
        <w:t xml:space="preserve">their </w:t>
      </w:r>
      <w:r w:rsidR="00420FC1" w:rsidRPr="008E74D1">
        <w:t>inclusion</w:t>
      </w:r>
      <w:r w:rsidR="00136DCA" w:rsidRPr="008E74D1">
        <w:t xml:space="preserve"> </w:t>
      </w:r>
      <w:r w:rsidR="006610E3" w:rsidRPr="008E74D1">
        <w:t>in different</w:t>
      </w:r>
      <w:r w:rsidR="00136DCA" w:rsidRPr="008E74D1">
        <w:t xml:space="preserve"> ECHA lists containing substances of </w:t>
      </w:r>
      <w:r w:rsidR="006610E3" w:rsidRPr="008E74D1">
        <w:t xml:space="preserve">(potential) </w:t>
      </w:r>
      <w:r w:rsidR="00136DCA" w:rsidRPr="008E74D1">
        <w:t>concern</w:t>
      </w:r>
      <w:r w:rsidR="006610E3" w:rsidRPr="008E74D1">
        <w:t xml:space="preserve"> </w:t>
      </w:r>
      <w:r w:rsidR="007B2C25" w:rsidRPr="008E74D1">
        <w:t xml:space="preserve">was </w:t>
      </w:r>
      <w:r w:rsidR="006610E3" w:rsidRPr="008E74D1">
        <w:t>verified. The following lists were consulted:</w:t>
      </w:r>
    </w:p>
    <w:p w:rsidR="00E52DEC" w:rsidRPr="00E52DEC" w:rsidRDefault="00836876" w:rsidP="008E74D1">
      <w:pPr>
        <w:pStyle w:val="ListParagraph"/>
        <w:numPr>
          <w:ilvl w:val="0"/>
          <w:numId w:val="17"/>
        </w:numPr>
        <w:spacing w:after="0" w:line="480" w:lineRule="auto"/>
        <w:jc w:val="both"/>
        <w:rPr>
          <w:rFonts w:eastAsia="Calibri" w:cs="Times New Roman"/>
        </w:rPr>
      </w:pPr>
      <w:r w:rsidRPr="008E74D1">
        <w:rPr>
          <w:rFonts w:eastAsia="Calibri" w:cs="Times New Roman"/>
          <w:b/>
          <w:i/>
        </w:rPr>
        <w:t xml:space="preserve">Community </w:t>
      </w:r>
      <w:r w:rsidR="007B2C25" w:rsidRPr="008E74D1">
        <w:rPr>
          <w:rFonts w:eastAsia="Calibri" w:cs="Times New Roman"/>
          <w:b/>
          <w:i/>
        </w:rPr>
        <w:t>R</w:t>
      </w:r>
      <w:r w:rsidRPr="008E74D1">
        <w:rPr>
          <w:rFonts w:eastAsia="Calibri" w:cs="Times New Roman"/>
          <w:b/>
          <w:i/>
        </w:rPr>
        <w:t xml:space="preserve">olling </w:t>
      </w:r>
      <w:r w:rsidR="007B2C25" w:rsidRPr="008E74D1">
        <w:rPr>
          <w:rFonts w:eastAsia="Calibri" w:cs="Times New Roman"/>
          <w:b/>
          <w:i/>
        </w:rPr>
        <w:t>A</w:t>
      </w:r>
      <w:r w:rsidRPr="008E74D1">
        <w:rPr>
          <w:rFonts w:eastAsia="Calibri" w:cs="Times New Roman"/>
          <w:b/>
          <w:i/>
        </w:rPr>
        <w:t xml:space="preserve">ction </w:t>
      </w:r>
      <w:r w:rsidR="007B2C25" w:rsidRPr="008E74D1">
        <w:rPr>
          <w:rFonts w:eastAsia="Calibri" w:cs="Times New Roman"/>
          <w:b/>
          <w:i/>
        </w:rPr>
        <w:t>P</w:t>
      </w:r>
      <w:r w:rsidR="00E52DEC">
        <w:rPr>
          <w:rFonts w:eastAsia="Calibri" w:cs="Times New Roman"/>
          <w:b/>
          <w:i/>
        </w:rPr>
        <w:t>lan (</w:t>
      </w:r>
      <w:proofErr w:type="spellStart"/>
      <w:r w:rsidR="00E52DEC">
        <w:rPr>
          <w:rFonts w:eastAsia="Calibri" w:cs="Times New Roman"/>
          <w:b/>
          <w:i/>
        </w:rPr>
        <w:t>CoRAP</w:t>
      </w:r>
      <w:proofErr w:type="spellEnd"/>
      <w:r w:rsidR="00E52DEC">
        <w:rPr>
          <w:rFonts w:eastAsia="Calibri" w:cs="Times New Roman"/>
          <w:b/>
          <w:i/>
        </w:rPr>
        <w:t>) list</w:t>
      </w:r>
      <w:r w:rsidRPr="008E74D1">
        <w:rPr>
          <w:rFonts w:eastAsia="Calibri" w:cs="Times New Roman"/>
          <w:b/>
          <w:i/>
        </w:rPr>
        <w:t xml:space="preserve"> </w:t>
      </w:r>
    </w:p>
    <w:p w:rsidR="006610E3" w:rsidRPr="008E74D1" w:rsidRDefault="00836876" w:rsidP="00E52DEC">
      <w:pPr>
        <w:pStyle w:val="ListParagraph"/>
        <w:spacing w:after="0" w:line="480" w:lineRule="auto"/>
        <w:jc w:val="both"/>
        <w:rPr>
          <w:rFonts w:eastAsia="Calibri" w:cs="Times New Roman"/>
        </w:rPr>
      </w:pPr>
      <w:r w:rsidRPr="008E74D1">
        <w:rPr>
          <w:rFonts w:eastAsia="Calibri" w:cs="Times New Roman"/>
        </w:rPr>
        <w:t>Substances included in this list have been</w:t>
      </w:r>
      <w:r w:rsidR="00D01551" w:rsidRPr="008E74D1">
        <w:rPr>
          <w:rFonts w:eastAsia="Calibri" w:cs="Times New Roman"/>
        </w:rPr>
        <w:t>,</w:t>
      </w:r>
      <w:r w:rsidRPr="008E74D1">
        <w:rPr>
          <w:rFonts w:eastAsia="Calibri" w:cs="Times New Roman"/>
        </w:rPr>
        <w:t xml:space="preserve"> or will be</w:t>
      </w:r>
      <w:r w:rsidR="00D01551" w:rsidRPr="008E74D1">
        <w:rPr>
          <w:rFonts w:eastAsia="Calibri" w:cs="Times New Roman"/>
        </w:rPr>
        <w:t>,</w:t>
      </w:r>
      <w:r w:rsidRPr="008E74D1">
        <w:rPr>
          <w:rFonts w:eastAsia="Calibri" w:cs="Times New Roman"/>
        </w:rPr>
        <w:t xml:space="preserve"> evaluated by a Member State of the European Union. The evaluations are aimed to clarify the initial concern that the manufacture and/or use of these substances could pose a risk to human health or the environment. In many cases, these initial concerns are related to potential persistency, bioaccumulation and toxicity (PBT), endocrine disruption, or carcinogenicity, mutagenicity and toxicity to reproduction (CMR); in combination with wide dispersive us</w:t>
      </w:r>
      <w:r w:rsidR="00CA52B9" w:rsidRPr="008E74D1">
        <w:rPr>
          <w:rFonts w:eastAsia="Calibri" w:cs="Times New Roman"/>
        </w:rPr>
        <w:t xml:space="preserve">e or consumer </w:t>
      </w:r>
      <w:r w:rsidR="00CA52B9" w:rsidRPr="008E74D1">
        <w:rPr>
          <w:rFonts w:eastAsia="Calibri" w:cs="Times New Roman"/>
        </w:rPr>
        <w:lastRenderedPageBreak/>
        <w:t>uses (ECHA</w:t>
      </w:r>
      <w:r w:rsidRPr="008E74D1">
        <w:rPr>
          <w:rFonts w:eastAsia="Calibri" w:cs="Times New Roman"/>
        </w:rPr>
        <w:t>, 2016).</w:t>
      </w:r>
      <w:r w:rsidR="00860911" w:rsidRPr="008E74D1">
        <w:rPr>
          <w:rFonts w:eastAsia="Calibri" w:cs="Times New Roman"/>
        </w:rPr>
        <w:t xml:space="preserve"> After evaluation, different decisions can be made: (</w:t>
      </w:r>
      <w:proofErr w:type="spellStart"/>
      <w:r w:rsidR="00860911" w:rsidRPr="008E74D1">
        <w:rPr>
          <w:rFonts w:eastAsia="Calibri" w:cs="Times New Roman"/>
        </w:rPr>
        <w:t>i</w:t>
      </w:r>
      <w:proofErr w:type="spellEnd"/>
      <w:r w:rsidR="00860911" w:rsidRPr="008E74D1">
        <w:rPr>
          <w:rFonts w:eastAsia="Calibri" w:cs="Times New Roman"/>
        </w:rPr>
        <w:t xml:space="preserve">) </w:t>
      </w:r>
      <w:r w:rsidR="00FF7D27" w:rsidRPr="008E74D1">
        <w:rPr>
          <w:rFonts w:eastAsia="Calibri" w:cs="Times New Roman"/>
        </w:rPr>
        <w:t xml:space="preserve">no action </w:t>
      </w:r>
      <w:r w:rsidR="00860911" w:rsidRPr="008E74D1">
        <w:rPr>
          <w:rFonts w:eastAsia="Calibri" w:cs="Times New Roman"/>
        </w:rPr>
        <w:t xml:space="preserve">in case the concern is </w:t>
      </w:r>
      <w:r w:rsidR="00FF7D27" w:rsidRPr="008E74D1">
        <w:rPr>
          <w:rFonts w:eastAsia="Calibri" w:cs="Times New Roman"/>
        </w:rPr>
        <w:t>not confirmed</w:t>
      </w:r>
      <w:r w:rsidR="00860911" w:rsidRPr="008E74D1">
        <w:rPr>
          <w:rFonts w:eastAsia="Calibri" w:cs="Times New Roman"/>
        </w:rPr>
        <w:t xml:space="preserve">; (ii) </w:t>
      </w:r>
      <w:r w:rsidR="00FF7D27" w:rsidRPr="008E74D1">
        <w:rPr>
          <w:rFonts w:eastAsia="Calibri" w:cs="Times New Roman"/>
        </w:rPr>
        <w:t>proposal for a</w:t>
      </w:r>
      <w:r w:rsidR="00E32193" w:rsidRPr="008E74D1">
        <w:rPr>
          <w:rFonts w:eastAsia="Calibri" w:cs="Times New Roman"/>
        </w:rPr>
        <w:t xml:space="preserve"> harmonis</w:t>
      </w:r>
      <w:r w:rsidR="008E66F7" w:rsidRPr="008E74D1">
        <w:rPr>
          <w:rFonts w:eastAsia="Calibri" w:cs="Times New Roman"/>
        </w:rPr>
        <w:t xml:space="preserve">ed </w:t>
      </w:r>
      <w:r w:rsidR="00860911" w:rsidRPr="008E74D1">
        <w:rPr>
          <w:rFonts w:eastAsia="Calibri" w:cs="Times New Roman"/>
        </w:rPr>
        <w:t>classification</w:t>
      </w:r>
      <w:r w:rsidR="008E66F7" w:rsidRPr="008E74D1">
        <w:rPr>
          <w:rFonts w:eastAsia="Calibri" w:cs="Times New Roman"/>
        </w:rPr>
        <w:t xml:space="preserve"> </w:t>
      </w:r>
      <w:r w:rsidR="00860911" w:rsidRPr="008E74D1">
        <w:rPr>
          <w:rFonts w:eastAsia="Calibri" w:cs="Times New Roman"/>
        </w:rPr>
        <w:t>; (iii)</w:t>
      </w:r>
      <w:r w:rsidR="00FF7D27" w:rsidRPr="008E74D1">
        <w:rPr>
          <w:rFonts w:eastAsia="Calibri" w:cs="Times New Roman"/>
        </w:rPr>
        <w:t xml:space="preserve"> inclusion in the </w:t>
      </w:r>
      <w:r w:rsidR="00336C16" w:rsidRPr="008E74D1">
        <w:rPr>
          <w:rFonts w:eastAsia="Calibri" w:cs="Times New Roman"/>
        </w:rPr>
        <w:t>Candidate List of Substances of Very High Concern (</w:t>
      </w:r>
      <w:r w:rsidR="00FF7D27" w:rsidRPr="008E74D1">
        <w:rPr>
          <w:rFonts w:eastAsia="Calibri" w:cs="Times New Roman"/>
        </w:rPr>
        <w:t>SVHC</w:t>
      </w:r>
      <w:r w:rsidR="00336C16" w:rsidRPr="008E74D1">
        <w:rPr>
          <w:rFonts w:eastAsia="Calibri" w:cs="Times New Roman"/>
        </w:rPr>
        <w:t>)</w:t>
      </w:r>
      <w:r w:rsidR="00FF7D27" w:rsidRPr="008E74D1">
        <w:rPr>
          <w:rFonts w:eastAsia="Calibri" w:cs="Times New Roman"/>
        </w:rPr>
        <w:t>; (iv) proposal for a restriction or (v) decision to take action under an</w:t>
      </w:r>
      <w:r w:rsidR="008E66F7" w:rsidRPr="008E74D1">
        <w:rPr>
          <w:rFonts w:eastAsia="Calibri" w:cs="Times New Roman"/>
        </w:rPr>
        <w:t>other legislation than REACH/CLP (Classification, Labelling and Packaging)</w:t>
      </w:r>
      <w:r w:rsidR="00FF7D27" w:rsidRPr="008E74D1">
        <w:rPr>
          <w:rFonts w:eastAsia="Calibri" w:cs="Times New Roman"/>
        </w:rPr>
        <w:t>.</w:t>
      </w:r>
    </w:p>
    <w:p w:rsidR="00E52DEC" w:rsidRPr="00E52DEC" w:rsidRDefault="00006B2C" w:rsidP="008E74D1">
      <w:pPr>
        <w:pStyle w:val="ListParagraph"/>
        <w:numPr>
          <w:ilvl w:val="0"/>
          <w:numId w:val="17"/>
        </w:numPr>
        <w:spacing w:after="0" w:line="480" w:lineRule="auto"/>
        <w:jc w:val="both"/>
        <w:rPr>
          <w:rFonts w:eastAsia="Calibri" w:cs="Times New Roman"/>
        </w:rPr>
      </w:pPr>
      <w:bookmarkStart w:id="0" w:name="_GoBack"/>
      <w:bookmarkEnd w:id="0"/>
      <w:r w:rsidRPr="008E74D1">
        <w:rPr>
          <w:rFonts w:eastAsia="Calibri" w:cs="Times New Roman"/>
          <w:b/>
          <w:i/>
        </w:rPr>
        <w:t>Candidate List of Substances of Very High Concern (SVHC list)</w:t>
      </w:r>
      <w:r w:rsidR="00836876" w:rsidRPr="008E74D1">
        <w:rPr>
          <w:rFonts w:eastAsia="Calibri" w:cs="Times New Roman"/>
          <w:b/>
          <w:i/>
        </w:rPr>
        <w:t xml:space="preserve"> </w:t>
      </w:r>
    </w:p>
    <w:p w:rsidR="00C0626B" w:rsidRPr="008E74D1" w:rsidRDefault="00006B2C" w:rsidP="00E52DEC">
      <w:pPr>
        <w:pStyle w:val="ListParagraph"/>
        <w:spacing w:after="0" w:line="480" w:lineRule="auto"/>
        <w:jc w:val="both"/>
        <w:rPr>
          <w:rFonts w:eastAsia="Calibri" w:cs="Times New Roman"/>
        </w:rPr>
      </w:pPr>
      <w:r w:rsidRPr="008E74D1">
        <w:rPr>
          <w:rFonts w:eastAsia="Calibri" w:cs="Times New Roman"/>
        </w:rPr>
        <w:t xml:space="preserve">Substances fulfilling the criteria laid out in article 57 of the REACH regulation may be placed on the SVHC list. </w:t>
      </w:r>
      <w:r w:rsidR="00C0626B" w:rsidRPr="008E74D1">
        <w:rPr>
          <w:rFonts w:eastAsia="Calibri" w:cs="Times New Roman"/>
        </w:rPr>
        <w:t>These include:</w:t>
      </w:r>
    </w:p>
    <w:p w:rsidR="00C0626B" w:rsidRPr="00226C39" w:rsidRDefault="00C0626B" w:rsidP="00FA5E3E">
      <w:pPr>
        <w:pStyle w:val="ListParagraph"/>
        <w:numPr>
          <w:ilvl w:val="0"/>
          <w:numId w:val="14"/>
        </w:numPr>
        <w:spacing w:after="0" w:line="480" w:lineRule="auto"/>
        <w:jc w:val="both"/>
        <w:rPr>
          <w:rFonts w:eastAsia="Calibri" w:cs="Times New Roman"/>
        </w:rPr>
      </w:pPr>
      <w:r w:rsidRPr="00226C39">
        <w:rPr>
          <w:rFonts w:eastAsia="Calibri" w:cs="Times New Roman"/>
        </w:rPr>
        <w:t xml:space="preserve">substances </w:t>
      </w:r>
      <w:r w:rsidR="00CF16F2" w:rsidRPr="00226C39">
        <w:rPr>
          <w:rFonts w:eastAsia="Calibri" w:cs="Times New Roman"/>
        </w:rPr>
        <w:t xml:space="preserve">classified as carcinogenic </w:t>
      </w:r>
      <w:r w:rsidR="007A38CE" w:rsidRPr="00226C39">
        <w:rPr>
          <w:rFonts w:eastAsia="Calibri" w:cs="Times New Roman"/>
        </w:rPr>
        <w:t>category 1A or 1B in accordance with Regulation (EC) No 1272/2008</w:t>
      </w:r>
      <w:r w:rsidRPr="00226C39">
        <w:rPr>
          <w:rFonts w:eastAsia="Calibri" w:cs="Times New Roman"/>
        </w:rPr>
        <w:t xml:space="preserve">; </w:t>
      </w:r>
    </w:p>
    <w:p w:rsidR="00C0626B" w:rsidRPr="00226C39" w:rsidRDefault="00C0626B" w:rsidP="00FA5E3E">
      <w:pPr>
        <w:pStyle w:val="ListParagraph"/>
        <w:numPr>
          <w:ilvl w:val="0"/>
          <w:numId w:val="14"/>
        </w:numPr>
        <w:spacing w:after="0" w:line="480" w:lineRule="auto"/>
        <w:jc w:val="both"/>
        <w:rPr>
          <w:rFonts w:eastAsia="Calibri" w:cs="Times New Roman"/>
        </w:rPr>
      </w:pPr>
      <w:r w:rsidRPr="00226C39">
        <w:rPr>
          <w:rFonts w:eastAsia="Calibri" w:cs="Times New Roman"/>
        </w:rPr>
        <w:t xml:space="preserve">substances </w:t>
      </w:r>
      <w:r w:rsidR="00CF16F2" w:rsidRPr="00226C39">
        <w:rPr>
          <w:rFonts w:eastAsia="Calibri" w:cs="Times New Roman"/>
        </w:rPr>
        <w:t>classified as germ cell mutagenic</w:t>
      </w:r>
      <w:r w:rsidR="007A38CE" w:rsidRPr="00226C39">
        <w:rPr>
          <w:rFonts w:eastAsia="Calibri" w:cs="Times New Roman"/>
        </w:rPr>
        <w:t xml:space="preserve"> category 1A or 1B in accordance with Regulation (EC) No 1272/2008</w:t>
      </w:r>
      <w:r w:rsidRPr="00226C39">
        <w:rPr>
          <w:rFonts w:eastAsia="Calibri" w:cs="Times New Roman"/>
        </w:rPr>
        <w:t xml:space="preserve">; </w:t>
      </w:r>
    </w:p>
    <w:p w:rsidR="00C0626B" w:rsidRPr="00226C39" w:rsidRDefault="00C0626B" w:rsidP="00FA5E3E">
      <w:pPr>
        <w:pStyle w:val="ListParagraph"/>
        <w:numPr>
          <w:ilvl w:val="0"/>
          <w:numId w:val="14"/>
        </w:numPr>
        <w:spacing w:after="0" w:line="480" w:lineRule="auto"/>
        <w:jc w:val="both"/>
        <w:rPr>
          <w:rFonts w:eastAsia="Calibri" w:cs="Times New Roman"/>
        </w:rPr>
      </w:pPr>
      <w:r w:rsidRPr="00226C39">
        <w:rPr>
          <w:rFonts w:eastAsia="Calibri" w:cs="Times New Roman"/>
        </w:rPr>
        <w:t xml:space="preserve">substances </w:t>
      </w:r>
      <w:r w:rsidR="00CF16F2" w:rsidRPr="00226C39">
        <w:rPr>
          <w:rFonts w:eastAsia="Calibri" w:cs="Times New Roman"/>
        </w:rPr>
        <w:t xml:space="preserve">classified as toxic for </w:t>
      </w:r>
      <w:r w:rsidR="007A38CE" w:rsidRPr="00226C39">
        <w:rPr>
          <w:rFonts w:eastAsia="Calibri" w:cs="Times New Roman"/>
        </w:rPr>
        <w:t>reproducti</w:t>
      </w:r>
      <w:r w:rsidR="00CF16F2" w:rsidRPr="00226C39">
        <w:rPr>
          <w:rFonts w:eastAsia="Calibri" w:cs="Times New Roman"/>
        </w:rPr>
        <w:t>on</w:t>
      </w:r>
      <w:r w:rsidR="007A38CE" w:rsidRPr="00226C39">
        <w:rPr>
          <w:rFonts w:eastAsia="Calibri" w:cs="Times New Roman"/>
        </w:rPr>
        <w:t xml:space="preserve"> category 1A or 1B in accordance with Regulation (EC) No 1272/2008</w:t>
      </w:r>
      <w:r w:rsidRPr="00226C39">
        <w:rPr>
          <w:rFonts w:eastAsia="Calibri" w:cs="Times New Roman"/>
        </w:rPr>
        <w:t xml:space="preserve">; </w:t>
      </w:r>
    </w:p>
    <w:p w:rsidR="00C0626B" w:rsidRPr="00226C39" w:rsidRDefault="00C0626B" w:rsidP="00FA5E3E">
      <w:pPr>
        <w:pStyle w:val="ListParagraph"/>
        <w:numPr>
          <w:ilvl w:val="0"/>
          <w:numId w:val="14"/>
        </w:numPr>
        <w:spacing w:after="0" w:line="480" w:lineRule="auto"/>
        <w:jc w:val="both"/>
        <w:rPr>
          <w:rFonts w:eastAsia="Calibri" w:cs="Times New Roman"/>
        </w:rPr>
      </w:pPr>
      <w:r w:rsidRPr="00226C39">
        <w:rPr>
          <w:rFonts w:eastAsia="Calibri" w:cs="Times New Roman"/>
        </w:rPr>
        <w:t xml:space="preserve">substances which are </w:t>
      </w:r>
      <w:r w:rsidR="00E32193" w:rsidRPr="00226C39">
        <w:rPr>
          <w:rFonts w:eastAsia="Calibri" w:cs="Times New Roman"/>
        </w:rPr>
        <w:t>PBT</w:t>
      </w:r>
      <w:r w:rsidRPr="00226C39">
        <w:rPr>
          <w:rFonts w:eastAsia="Calibri" w:cs="Times New Roman"/>
        </w:rPr>
        <w:t xml:space="preserve"> in accordance with the criteria set out in Annex </w:t>
      </w:r>
      <w:r w:rsidR="0040236D" w:rsidRPr="00226C39">
        <w:rPr>
          <w:rFonts w:eastAsia="Calibri" w:cs="Times New Roman"/>
        </w:rPr>
        <w:t>XIII of the REACH</w:t>
      </w:r>
      <w:r w:rsidRPr="00226C39">
        <w:rPr>
          <w:rFonts w:eastAsia="Calibri" w:cs="Times New Roman"/>
        </w:rPr>
        <w:t xml:space="preserve"> Regulation; </w:t>
      </w:r>
    </w:p>
    <w:p w:rsidR="00C0626B" w:rsidRPr="00226C39" w:rsidRDefault="00C0626B" w:rsidP="00FA5E3E">
      <w:pPr>
        <w:pStyle w:val="ListParagraph"/>
        <w:numPr>
          <w:ilvl w:val="0"/>
          <w:numId w:val="14"/>
        </w:numPr>
        <w:spacing w:after="0" w:line="480" w:lineRule="auto"/>
        <w:jc w:val="both"/>
        <w:rPr>
          <w:rFonts w:eastAsia="Calibri" w:cs="Times New Roman"/>
        </w:rPr>
      </w:pPr>
      <w:r w:rsidRPr="00226C39">
        <w:rPr>
          <w:rFonts w:eastAsia="Calibri" w:cs="Times New Roman"/>
        </w:rPr>
        <w:t xml:space="preserve">substances which are very persistent and very </w:t>
      </w:r>
      <w:proofErr w:type="spellStart"/>
      <w:r w:rsidRPr="00226C39">
        <w:rPr>
          <w:rFonts w:eastAsia="Calibri" w:cs="Times New Roman"/>
        </w:rPr>
        <w:t>bioaccumulative</w:t>
      </w:r>
      <w:proofErr w:type="spellEnd"/>
      <w:r w:rsidR="00E32193" w:rsidRPr="00226C39">
        <w:rPr>
          <w:rFonts w:eastAsia="Calibri" w:cs="Times New Roman"/>
        </w:rPr>
        <w:t xml:space="preserve"> (</w:t>
      </w:r>
      <w:proofErr w:type="spellStart"/>
      <w:r w:rsidR="00E32193" w:rsidRPr="00226C39">
        <w:rPr>
          <w:rFonts w:eastAsia="Calibri" w:cs="Times New Roman"/>
        </w:rPr>
        <w:t>vPvB</w:t>
      </w:r>
      <w:proofErr w:type="spellEnd"/>
      <w:r w:rsidR="00E32193" w:rsidRPr="00226C39">
        <w:rPr>
          <w:rFonts w:eastAsia="Calibri" w:cs="Times New Roman"/>
        </w:rPr>
        <w:t>)</w:t>
      </w:r>
      <w:r w:rsidRPr="00226C39">
        <w:rPr>
          <w:rFonts w:eastAsia="Calibri" w:cs="Times New Roman"/>
        </w:rPr>
        <w:t xml:space="preserve"> in accordance with the crite</w:t>
      </w:r>
      <w:r w:rsidR="0040236D" w:rsidRPr="00226C39">
        <w:rPr>
          <w:rFonts w:eastAsia="Calibri" w:cs="Times New Roman"/>
        </w:rPr>
        <w:t>ria set out in Annex XIII of the REACH</w:t>
      </w:r>
      <w:r w:rsidRPr="00226C39">
        <w:rPr>
          <w:rFonts w:eastAsia="Calibri" w:cs="Times New Roman"/>
        </w:rPr>
        <w:t xml:space="preserve"> Regulation; </w:t>
      </w:r>
    </w:p>
    <w:p w:rsidR="00C0626B" w:rsidRPr="00226C39" w:rsidRDefault="00C0626B" w:rsidP="00FA5E3E">
      <w:pPr>
        <w:pStyle w:val="ListParagraph"/>
        <w:numPr>
          <w:ilvl w:val="0"/>
          <w:numId w:val="14"/>
        </w:numPr>
        <w:spacing w:after="0" w:line="480" w:lineRule="auto"/>
        <w:jc w:val="both"/>
        <w:rPr>
          <w:rFonts w:eastAsia="Calibri" w:cs="Times New Roman"/>
        </w:rPr>
      </w:pPr>
      <w:r w:rsidRPr="00226C39">
        <w:rPr>
          <w:rFonts w:eastAsia="Calibri" w:cs="Times New Roman"/>
        </w:rPr>
        <w:t xml:space="preserve">substances — such as those having endocrine disrupting properties or those having </w:t>
      </w:r>
      <w:r w:rsidR="00E32193" w:rsidRPr="00226C39">
        <w:rPr>
          <w:rFonts w:eastAsia="Calibri" w:cs="Times New Roman"/>
        </w:rPr>
        <w:t>PBT</w:t>
      </w:r>
      <w:r w:rsidRPr="00226C39">
        <w:rPr>
          <w:rFonts w:eastAsia="Calibri" w:cs="Times New Roman"/>
        </w:rPr>
        <w:t xml:space="preserve"> or </w:t>
      </w:r>
      <w:proofErr w:type="spellStart"/>
      <w:r w:rsidRPr="00226C39">
        <w:rPr>
          <w:rFonts w:eastAsia="Calibri" w:cs="Times New Roman"/>
        </w:rPr>
        <w:t>v</w:t>
      </w:r>
      <w:r w:rsidR="00E32193" w:rsidRPr="00226C39">
        <w:rPr>
          <w:rFonts w:eastAsia="Calibri" w:cs="Times New Roman"/>
        </w:rPr>
        <w:t>PvB</w:t>
      </w:r>
      <w:proofErr w:type="spellEnd"/>
      <w:r w:rsidRPr="00226C39">
        <w:rPr>
          <w:rFonts w:eastAsia="Calibri" w:cs="Times New Roman"/>
        </w:rPr>
        <w:t xml:space="preserve"> properties, which do not fulfil the criteria of points (d) or (e) — for which there is scientific evidence of probable serious effects to human health or the environment which give rise to an equivalent level of concern to those of other substances listed in points (a) to (e) and which are identified on a case-by-case basis in accordance with the procedure set out in Article 59</w:t>
      </w:r>
      <w:r w:rsidR="0040236D" w:rsidRPr="00226C39">
        <w:rPr>
          <w:rFonts w:eastAsia="Calibri" w:cs="Times New Roman"/>
        </w:rPr>
        <w:t xml:space="preserve"> of the REACH Regulation</w:t>
      </w:r>
      <w:r w:rsidRPr="00226C39">
        <w:rPr>
          <w:rFonts w:eastAsia="Calibri" w:cs="Times New Roman"/>
        </w:rPr>
        <w:t>.</w:t>
      </w:r>
    </w:p>
    <w:p w:rsidR="006610E3" w:rsidRPr="00226C39" w:rsidRDefault="00006B2C" w:rsidP="00040D78">
      <w:pPr>
        <w:spacing w:after="0" w:line="480" w:lineRule="auto"/>
        <w:jc w:val="both"/>
        <w:rPr>
          <w:rFonts w:eastAsia="Calibri" w:cs="Times New Roman"/>
        </w:rPr>
      </w:pPr>
      <w:r w:rsidRPr="00226C39">
        <w:rPr>
          <w:rFonts w:eastAsia="Calibri" w:cs="Times New Roman"/>
        </w:rPr>
        <w:t>Both Member States and ECHA, at the request of the Commission, can propose a substa</w:t>
      </w:r>
      <w:r w:rsidR="00FA5E3E" w:rsidRPr="00226C39">
        <w:rPr>
          <w:rFonts w:eastAsia="Calibri" w:cs="Times New Roman"/>
        </w:rPr>
        <w:t xml:space="preserve">nce to be identified as a SVHC </w:t>
      </w:r>
      <w:r w:rsidR="00CA52B9" w:rsidRPr="00226C39">
        <w:rPr>
          <w:rFonts w:eastAsia="Calibri" w:cs="Times New Roman"/>
        </w:rPr>
        <w:t>(ECHA</w:t>
      </w:r>
      <w:r w:rsidR="00836876" w:rsidRPr="00226C39">
        <w:rPr>
          <w:rFonts w:eastAsia="Calibri" w:cs="Times New Roman"/>
        </w:rPr>
        <w:t>, 2016)</w:t>
      </w:r>
      <w:r w:rsidRPr="00226C39">
        <w:rPr>
          <w:rFonts w:eastAsia="Calibri" w:cs="Times New Roman"/>
        </w:rPr>
        <w:t xml:space="preserve">. </w:t>
      </w:r>
    </w:p>
    <w:p w:rsidR="00E52DEC" w:rsidRPr="00E52DEC" w:rsidRDefault="006610E3" w:rsidP="008E74D1">
      <w:pPr>
        <w:pStyle w:val="ListParagraph"/>
        <w:numPr>
          <w:ilvl w:val="0"/>
          <w:numId w:val="18"/>
        </w:numPr>
        <w:spacing w:after="0" w:line="480" w:lineRule="auto"/>
        <w:jc w:val="both"/>
        <w:rPr>
          <w:rFonts w:eastAsia="Calibri" w:cs="Times New Roman"/>
        </w:rPr>
      </w:pPr>
      <w:r w:rsidRPr="008E74D1">
        <w:rPr>
          <w:rFonts w:eastAsia="Calibri" w:cs="Times New Roman"/>
          <w:b/>
          <w:i/>
        </w:rPr>
        <w:lastRenderedPageBreak/>
        <w:t>Annex XIV</w:t>
      </w:r>
      <w:r w:rsidR="005658BC" w:rsidRPr="008E74D1">
        <w:rPr>
          <w:rFonts w:eastAsia="Calibri" w:cs="Times New Roman"/>
          <w:b/>
          <w:i/>
        </w:rPr>
        <w:t xml:space="preserve"> and Annex XVII</w:t>
      </w:r>
      <w:r w:rsidR="00836876" w:rsidRPr="008E74D1">
        <w:rPr>
          <w:rFonts w:eastAsia="Calibri" w:cs="Times New Roman"/>
          <w:b/>
          <w:i/>
        </w:rPr>
        <w:t xml:space="preserve"> </w:t>
      </w:r>
    </w:p>
    <w:p w:rsidR="005658BC" w:rsidRPr="008E74D1" w:rsidRDefault="00006B2C" w:rsidP="00E52DEC">
      <w:pPr>
        <w:pStyle w:val="ListParagraph"/>
        <w:spacing w:after="0" w:line="480" w:lineRule="auto"/>
        <w:jc w:val="both"/>
        <w:rPr>
          <w:rFonts w:eastAsia="Calibri" w:cs="Times New Roman"/>
        </w:rPr>
      </w:pPr>
      <w:r w:rsidRPr="008E74D1">
        <w:rPr>
          <w:rFonts w:eastAsia="Calibri" w:cs="Times New Roman"/>
        </w:rPr>
        <w:t>Any substance included in the Authorisation list</w:t>
      </w:r>
      <w:r w:rsidR="001E0830" w:rsidRPr="008E74D1">
        <w:rPr>
          <w:rFonts w:eastAsia="Calibri" w:cs="Times New Roman"/>
        </w:rPr>
        <w:t xml:space="preserve"> (Annex XIV)</w:t>
      </w:r>
      <w:r w:rsidRPr="008E74D1">
        <w:rPr>
          <w:rFonts w:eastAsia="Calibri" w:cs="Times New Roman"/>
        </w:rPr>
        <w:t xml:space="preserve"> is intended for phase-out and a sunset date for this phase-out is established upon adoption </w:t>
      </w:r>
      <w:r w:rsidRPr="008E74D1">
        <w:rPr>
          <w:rFonts w:eastAsia="Calibri" w:cs="Times New Roman"/>
          <w:noProof/>
        </w:rPr>
        <w:t>(Geueke et al. 2014)</w:t>
      </w:r>
      <w:r w:rsidR="001E0830" w:rsidRPr="008E74D1">
        <w:rPr>
          <w:rFonts w:eastAsia="Calibri" w:cs="Times New Roman"/>
        </w:rPr>
        <w:t>.</w:t>
      </w:r>
      <w:r w:rsidRPr="008E74D1">
        <w:rPr>
          <w:rFonts w:eastAsia="Calibri" w:cs="Times New Roman"/>
        </w:rPr>
        <w:t xml:space="preserve"> </w:t>
      </w:r>
      <w:r w:rsidR="00627BB0" w:rsidRPr="008E74D1">
        <w:rPr>
          <w:rFonts w:eastAsia="Calibri" w:cs="Times New Roman"/>
        </w:rPr>
        <w:t>Substances included in</w:t>
      </w:r>
      <w:r w:rsidR="001E0830" w:rsidRPr="008E74D1">
        <w:rPr>
          <w:rFonts w:eastAsia="Calibri" w:cs="Times New Roman"/>
        </w:rPr>
        <w:t xml:space="preserve"> the Restriction list</w:t>
      </w:r>
      <w:r w:rsidR="00627BB0" w:rsidRPr="008E74D1">
        <w:rPr>
          <w:rFonts w:eastAsia="Calibri" w:cs="Times New Roman"/>
        </w:rPr>
        <w:t xml:space="preserve"> </w:t>
      </w:r>
      <w:r w:rsidR="001E0830" w:rsidRPr="008E74D1">
        <w:rPr>
          <w:rFonts w:eastAsia="Calibri" w:cs="Times New Roman"/>
        </w:rPr>
        <w:t>(</w:t>
      </w:r>
      <w:r w:rsidR="00627BB0" w:rsidRPr="008E74D1">
        <w:rPr>
          <w:rFonts w:eastAsia="Calibri" w:cs="Times New Roman"/>
        </w:rPr>
        <w:t>Annex XVII</w:t>
      </w:r>
      <w:r w:rsidR="001E0830" w:rsidRPr="008E74D1">
        <w:rPr>
          <w:rFonts w:eastAsia="Calibri" w:cs="Times New Roman"/>
        </w:rPr>
        <w:t>)</w:t>
      </w:r>
      <w:r w:rsidR="00627BB0" w:rsidRPr="008E74D1">
        <w:rPr>
          <w:rFonts w:eastAsia="Calibri" w:cs="Times New Roman"/>
        </w:rPr>
        <w:t xml:space="preserve"> are substances for which manufacture, placing on the market or use is limited or banned in </w:t>
      </w:r>
      <w:r w:rsidR="00CA52B9" w:rsidRPr="008E74D1">
        <w:rPr>
          <w:rFonts w:eastAsia="Calibri" w:cs="Times New Roman"/>
        </w:rPr>
        <w:t>the European Union (ECHA</w:t>
      </w:r>
      <w:r w:rsidR="00627BB0" w:rsidRPr="008E74D1">
        <w:rPr>
          <w:rFonts w:eastAsia="Calibri" w:cs="Times New Roman"/>
        </w:rPr>
        <w:t>, 2016).</w:t>
      </w:r>
    </w:p>
    <w:p w:rsidR="00022647" w:rsidRDefault="00022647" w:rsidP="000D7A28">
      <w:pPr>
        <w:spacing w:after="0" w:line="480" w:lineRule="auto"/>
        <w:jc w:val="both"/>
        <w:rPr>
          <w:b/>
          <w:sz w:val="24"/>
        </w:rPr>
        <w:sectPr w:rsidR="00022647" w:rsidSect="00C61D10">
          <w:pgSz w:w="11906" w:h="16838"/>
          <w:pgMar w:top="1440" w:right="1440" w:bottom="1440" w:left="1440" w:header="708" w:footer="708" w:gutter="0"/>
          <w:lnNumType w:countBy="1" w:restart="continuous"/>
          <w:cols w:space="708"/>
          <w:docGrid w:linePitch="360"/>
        </w:sectPr>
      </w:pPr>
    </w:p>
    <w:p w:rsidR="00BB6831" w:rsidRPr="007D4CC1" w:rsidRDefault="000D7A28" w:rsidP="000D7A28">
      <w:pPr>
        <w:spacing w:after="0" w:line="480" w:lineRule="auto"/>
        <w:jc w:val="both"/>
        <w:rPr>
          <w:b/>
          <w:sz w:val="24"/>
        </w:rPr>
      </w:pPr>
      <w:r w:rsidRPr="000D7A28">
        <w:rPr>
          <w:b/>
          <w:sz w:val="24"/>
        </w:rPr>
        <w:lastRenderedPageBreak/>
        <w:t>3.</w:t>
      </w:r>
      <w:r>
        <w:rPr>
          <w:b/>
          <w:sz w:val="24"/>
        </w:rPr>
        <w:t xml:space="preserve"> </w:t>
      </w:r>
      <w:r w:rsidR="007C6676" w:rsidRPr="007D4CC1">
        <w:rPr>
          <w:b/>
          <w:sz w:val="24"/>
        </w:rPr>
        <w:t>Results</w:t>
      </w:r>
    </w:p>
    <w:p w:rsidR="00AA5ED7" w:rsidRPr="0026127B" w:rsidRDefault="000D7A28" w:rsidP="007C6676">
      <w:pPr>
        <w:spacing w:after="0" w:line="480" w:lineRule="auto"/>
        <w:jc w:val="both"/>
        <w:rPr>
          <w:b/>
          <w:i/>
        </w:rPr>
      </w:pPr>
      <w:r w:rsidRPr="007E5847">
        <w:rPr>
          <w:b/>
        </w:rPr>
        <w:t>3.1.</w:t>
      </w:r>
      <w:r>
        <w:rPr>
          <w:b/>
          <w:i/>
        </w:rPr>
        <w:t xml:space="preserve"> </w:t>
      </w:r>
      <w:r w:rsidR="00AC6A15" w:rsidRPr="007E5847">
        <w:rPr>
          <w:b/>
        </w:rPr>
        <w:t>Combined i</w:t>
      </w:r>
      <w:r w:rsidRPr="007E5847">
        <w:rPr>
          <w:b/>
        </w:rPr>
        <w:t>nventory</w:t>
      </w:r>
      <w:r w:rsidRPr="000D7A28">
        <w:rPr>
          <w:b/>
          <w:i/>
        </w:rPr>
        <w:t xml:space="preserve">  </w:t>
      </w:r>
    </w:p>
    <w:p w:rsidR="00AA5DD7" w:rsidRDefault="00B01CCF" w:rsidP="00CB335E">
      <w:pPr>
        <w:spacing w:after="0" w:line="480" w:lineRule="auto"/>
        <w:jc w:val="both"/>
      </w:pPr>
      <w:r>
        <w:t xml:space="preserve">Compilation of the Swiss list (5067 substances), </w:t>
      </w:r>
      <w:r w:rsidR="00B46CB7">
        <w:t xml:space="preserve">the </w:t>
      </w:r>
      <w:proofErr w:type="spellStart"/>
      <w:r>
        <w:t>CoE</w:t>
      </w:r>
      <w:proofErr w:type="spellEnd"/>
      <w:r>
        <w:t xml:space="preserve"> list (140</w:t>
      </w:r>
      <w:r w:rsidR="00952D10">
        <w:t>1</w:t>
      </w:r>
      <w:r>
        <w:t xml:space="preserve"> substances), </w:t>
      </w:r>
      <w:r w:rsidR="00B46CB7">
        <w:t xml:space="preserve">the </w:t>
      </w:r>
      <w:r>
        <w:t xml:space="preserve">ESCO list (542 substances) and </w:t>
      </w:r>
      <w:r w:rsidR="00B46CB7">
        <w:t xml:space="preserve">the </w:t>
      </w:r>
      <w:r>
        <w:t>Union list (86</w:t>
      </w:r>
      <w:r w:rsidR="00952D10">
        <w:t>7</w:t>
      </w:r>
      <w:r>
        <w:t xml:space="preserve"> substances) </w:t>
      </w:r>
      <w:r w:rsidR="0016200B">
        <w:t>resulted in</w:t>
      </w:r>
      <w:r w:rsidR="0073258D">
        <w:t xml:space="preserve"> </w:t>
      </w:r>
      <w:r w:rsidR="00D520C4">
        <w:t>a combined</w:t>
      </w:r>
      <w:r w:rsidR="00B46CB7">
        <w:t xml:space="preserve"> inventory containing </w:t>
      </w:r>
      <w:r w:rsidR="0060788D">
        <w:t>787</w:t>
      </w:r>
      <w:r w:rsidR="00AC3172">
        <w:t>7</w:t>
      </w:r>
      <w:r w:rsidR="0073258D">
        <w:t xml:space="preserve"> </w:t>
      </w:r>
      <w:r w:rsidR="00B46CB7">
        <w:t>substances</w:t>
      </w:r>
      <w:r w:rsidR="0073258D">
        <w:t xml:space="preserve">. </w:t>
      </w:r>
      <w:r w:rsidR="0016200B">
        <w:t>In this context, i</w:t>
      </w:r>
      <w:r w:rsidR="00B46CB7">
        <w:t xml:space="preserve">t is important to note that </w:t>
      </w:r>
      <w:r w:rsidR="0016200B">
        <w:t>a</w:t>
      </w:r>
      <w:r w:rsidR="00B46CB7">
        <w:t xml:space="preserve"> substance can be included in </w:t>
      </w:r>
      <w:r w:rsidR="0016200B">
        <w:t>one or more</w:t>
      </w:r>
      <w:r w:rsidR="00B46CB7">
        <w:t xml:space="preserve"> lists. In </w:t>
      </w:r>
      <w:r w:rsidR="00B46CB7" w:rsidRPr="00E52DEC">
        <w:rPr>
          <w:b/>
        </w:rPr>
        <w:t>Figure 1</w:t>
      </w:r>
      <w:r w:rsidR="00B46CB7">
        <w:t>, t</w:t>
      </w:r>
      <w:r w:rsidR="00A46DB9">
        <w:t xml:space="preserve">he amount of </w:t>
      </w:r>
      <w:r w:rsidR="00F149EB">
        <w:t>compounds</w:t>
      </w:r>
      <w:r w:rsidR="00A46DB9">
        <w:t xml:space="preserve"> listed is represented</w:t>
      </w:r>
      <w:r w:rsidR="003F5C4F">
        <w:t xml:space="preserve"> as a function of the FCM </w:t>
      </w:r>
      <w:r w:rsidR="000E176D">
        <w:t>type</w:t>
      </w:r>
      <w:r w:rsidR="00A46DB9">
        <w:t xml:space="preserve">. </w:t>
      </w:r>
      <w:r w:rsidR="00A05050">
        <w:t>This figure illustrates that w</w:t>
      </w:r>
      <w:r w:rsidR="00B46CB7">
        <w:t>ithin the</w:t>
      </w:r>
      <w:r w:rsidR="00A46DB9">
        <w:t xml:space="preserve"> paper and board</w:t>
      </w:r>
      <w:r w:rsidR="00B46CB7">
        <w:t xml:space="preserve"> group</w:t>
      </w:r>
      <w:r w:rsidR="00A46DB9">
        <w:t>, 174</w:t>
      </w:r>
      <w:r w:rsidR="00B46CB7">
        <w:t xml:space="preserve"> substances </w:t>
      </w:r>
      <w:r w:rsidR="002715DA">
        <w:t>a</w:t>
      </w:r>
      <w:r w:rsidR="00B46CB7">
        <w:t xml:space="preserve">re </w:t>
      </w:r>
      <w:r w:rsidR="00DD1AD6">
        <w:t xml:space="preserve">indeed </w:t>
      </w:r>
      <w:r w:rsidR="00B46CB7">
        <w:t>mentioned</w:t>
      </w:r>
      <w:r w:rsidR="00A46DB9">
        <w:t xml:space="preserve"> in both</w:t>
      </w:r>
      <w:r w:rsidR="00B46CB7">
        <w:t xml:space="preserve"> the </w:t>
      </w:r>
      <w:proofErr w:type="spellStart"/>
      <w:r w:rsidR="00B46CB7">
        <w:t>CoE</w:t>
      </w:r>
      <w:proofErr w:type="spellEnd"/>
      <w:r w:rsidR="00B46CB7">
        <w:t xml:space="preserve"> and the ESCO list</w:t>
      </w:r>
      <w:r w:rsidR="00A46DB9">
        <w:t xml:space="preserve">. </w:t>
      </w:r>
      <w:r w:rsidR="003844FC">
        <w:t>After removal of these</w:t>
      </w:r>
      <w:r w:rsidR="003F5C4F">
        <w:t xml:space="preserve"> </w:t>
      </w:r>
      <w:r w:rsidR="00B3459F">
        <w:t>174 duplicates, the number of substances included in the</w:t>
      </w:r>
      <w:r w:rsidR="00D520C4">
        <w:t xml:space="preserve"> combined</w:t>
      </w:r>
      <w:r w:rsidR="00B3459F">
        <w:t xml:space="preserve"> inventory </w:t>
      </w:r>
      <w:r w:rsidR="0016200B">
        <w:t>could be</w:t>
      </w:r>
      <w:r w:rsidR="00B3459F">
        <w:t xml:space="preserve"> reduced to 7</w:t>
      </w:r>
      <w:r w:rsidR="0060788D">
        <w:t>70</w:t>
      </w:r>
      <w:r w:rsidR="003F1727">
        <w:t>3</w:t>
      </w:r>
      <w:r w:rsidR="00B3459F">
        <w:t xml:space="preserve">. </w:t>
      </w:r>
    </w:p>
    <w:p w:rsidR="00513FB3" w:rsidRDefault="00513FB3" w:rsidP="00BF11F0">
      <w:pPr>
        <w:spacing w:after="0" w:line="480" w:lineRule="auto"/>
        <w:jc w:val="both"/>
      </w:pPr>
      <w:r w:rsidRPr="00BF11F0">
        <w:rPr>
          <w:sz w:val="20"/>
        </w:rPr>
        <w:tab/>
      </w:r>
      <w:r w:rsidRPr="00BF11F0">
        <w:rPr>
          <w:sz w:val="20"/>
        </w:rPr>
        <w:tab/>
      </w:r>
    </w:p>
    <w:p w:rsidR="00B01CCF" w:rsidRDefault="00856D9D" w:rsidP="00CB335E">
      <w:pPr>
        <w:spacing w:after="0" w:line="480" w:lineRule="auto"/>
        <w:jc w:val="both"/>
      </w:pPr>
      <w:r>
        <w:t>As t</w:t>
      </w:r>
      <w:r w:rsidR="0057275B" w:rsidRPr="0057275B">
        <w:t xml:space="preserve">he same substance can also appear in the lists of different FCM </w:t>
      </w:r>
      <w:r w:rsidR="00653390">
        <w:t>type</w:t>
      </w:r>
      <w:r w:rsidR="00297548">
        <w:t>s</w:t>
      </w:r>
      <w:r>
        <w:t xml:space="preserve">, </w:t>
      </w:r>
      <w:r w:rsidRPr="00BF11F0">
        <w:rPr>
          <w:b/>
        </w:rPr>
        <w:t>F</w:t>
      </w:r>
      <w:r w:rsidR="00D139C0" w:rsidRPr="00BF11F0">
        <w:rPr>
          <w:b/>
        </w:rPr>
        <w:t>igure 2</w:t>
      </w:r>
      <w:r w:rsidR="00D139C0">
        <w:t xml:space="preserve"> depicts </w:t>
      </w:r>
      <w:r w:rsidR="00E77351">
        <w:t>the overlap</w:t>
      </w:r>
      <w:r w:rsidR="00062507">
        <w:t xml:space="preserve"> between the lists of the different</w:t>
      </w:r>
      <w:r w:rsidR="00F149EB">
        <w:t xml:space="preserve"> FCM </w:t>
      </w:r>
      <w:r w:rsidR="00E77351">
        <w:t>type</w:t>
      </w:r>
      <w:r w:rsidR="00F149EB">
        <w:t xml:space="preserve">s. </w:t>
      </w:r>
      <w:r w:rsidR="003F5C4F">
        <w:t xml:space="preserve">As shown in </w:t>
      </w:r>
      <w:r w:rsidR="00D64386" w:rsidRPr="00283B56">
        <w:rPr>
          <w:b/>
        </w:rPr>
        <w:t>F</w:t>
      </w:r>
      <w:r w:rsidR="003F5C4F" w:rsidRPr="00283B56">
        <w:rPr>
          <w:b/>
        </w:rPr>
        <w:t>igure 2A</w:t>
      </w:r>
      <w:r w:rsidR="003F5C4F">
        <w:t xml:space="preserve">, </w:t>
      </w:r>
      <w:r w:rsidR="00D7764A">
        <w:t>883</w:t>
      </w:r>
      <w:r w:rsidR="00F9224C">
        <w:t xml:space="preserve"> substances were found in both the list of printing inks and paper</w:t>
      </w:r>
      <w:r>
        <w:t>/</w:t>
      </w:r>
      <w:r w:rsidR="00F9224C">
        <w:t xml:space="preserve">board FCM. Removing these </w:t>
      </w:r>
      <w:r w:rsidR="00D7764A">
        <w:t>883</w:t>
      </w:r>
      <w:r>
        <w:t xml:space="preserve"> duplicates further decreased</w:t>
      </w:r>
      <w:r w:rsidR="00F9224C">
        <w:t xml:space="preserve"> the total number of subst</w:t>
      </w:r>
      <w:r w:rsidR="00297548">
        <w:t>ances included in the combined</w:t>
      </w:r>
      <w:r w:rsidR="00F9224C">
        <w:t xml:space="preserve"> inventory to </w:t>
      </w:r>
      <w:r w:rsidR="00F97A06">
        <w:t>68</w:t>
      </w:r>
      <w:r w:rsidR="00D7764A">
        <w:t>20</w:t>
      </w:r>
      <w:r w:rsidR="00F97A06">
        <w:t>. Most of the duplicate</w:t>
      </w:r>
      <w:r w:rsidR="00F9224C">
        <w:t xml:space="preserve"> substances, i.e. 71</w:t>
      </w:r>
      <w:r w:rsidR="00D7764A">
        <w:t>5</w:t>
      </w:r>
      <w:r w:rsidR="00F9224C">
        <w:t xml:space="preserve">, </w:t>
      </w:r>
      <w:r w:rsidR="00F97A06">
        <w:t>are present</w:t>
      </w:r>
      <w:r w:rsidR="00F9224C">
        <w:t xml:space="preserve"> in both the Swiss list and the </w:t>
      </w:r>
      <w:proofErr w:type="spellStart"/>
      <w:r w:rsidR="00F9224C">
        <w:t>CoE</w:t>
      </w:r>
      <w:proofErr w:type="spellEnd"/>
      <w:r w:rsidR="00F9224C">
        <w:t xml:space="preserve"> list. </w:t>
      </w:r>
      <w:r w:rsidR="00D64386">
        <w:t xml:space="preserve">In </w:t>
      </w:r>
      <w:r w:rsidR="00D64386" w:rsidRPr="00283B56">
        <w:rPr>
          <w:b/>
        </w:rPr>
        <w:t>Figure 2B</w:t>
      </w:r>
      <w:r w:rsidR="00D64386">
        <w:t xml:space="preserve">, the overlap of the lists of printing inks and paper and board with the Union list is presented. </w:t>
      </w:r>
      <w:r w:rsidR="0094596A">
        <w:t>Interestingly, most of the substances of the Union list</w:t>
      </w:r>
      <w:r w:rsidR="00740C4B">
        <w:t xml:space="preserve"> of Reg. (EU) No. 10/2011</w:t>
      </w:r>
      <w:r w:rsidR="0094596A">
        <w:t xml:space="preserve">, i.e. </w:t>
      </w:r>
      <w:r w:rsidR="009D529A">
        <w:t>74</w:t>
      </w:r>
      <w:r w:rsidR="00D7764A">
        <w:t>7</w:t>
      </w:r>
      <w:r w:rsidR="0094596A">
        <w:t>, are also included in at least one of the lists of printing inks and paper</w:t>
      </w:r>
      <w:r w:rsidR="007E2C3B">
        <w:t>/</w:t>
      </w:r>
      <w:r w:rsidR="00297548">
        <w:t>board</w:t>
      </w:r>
      <w:r w:rsidR="0094596A">
        <w:t xml:space="preserve"> FCM. Sixty-t</w:t>
      </w:r>
      <w:r w:rsidR="00D7764A">
        <w:t>hree</w:t>
      </w:r>
      <w:r w:rsidR="0094596A">
        <w:t xml:space="preserve"> substances are even present </w:t>
      </w:r>
      <w:r w:rsidR="00215197">
        <w:t>i</w:t>
      </w:r>
      <w:r w:rsidR="0094596A">
        <w:t xml:space="preserve">n all four lists. </w:t>
      </w:r>
      <w:r w:rsidR="009D529A">
        <w:t>After removal of the 7</w:t>
      </w:r>
      <w:r w:rsidR="00297548">
        <w:t>4</w:t>
      </w:r>
      <w:r w:rsidR="00D7764A">
        <w:t>7</w:t>
      </w:r>
      <w:r w:rsidR="00297548">
        <w:t xml:space="preserve"> duplicates, the final combined</w:t>
      </w:r>
      <w:r w:rsidR="009D529A">
        <w:t xml:space="preserve"> inventory was obtained</w:t>
      </w:r>
      <w:r w:rsidR="008C27E4">
        <w:t>,</w:t>
      </w:r>
      <w:r w:rsidR="007E2C3B">
        <w:t xml:space="preserve"> </w:t>
      </w:r>
      <w:r w:rsidR="009D529A">
        <w:t>contain</w:t>
      </w:r>
      <w:r w:rsidR="007E2C3B">
        <w:t>ing</w:t>
      </w:r>
      <w:r w:rsidR="009D529A">
        <w:t xml:space="preserve"> 60</w:t>
      </w:r>
      <w:r w:rsidR="00D7764A">
        <w:t>73</w:t>
      </w:r>
      <w:r w:rsidR="009D529A">
        <w:t xml:space="preserve"> unique substances.</w:t>
      </w:r>
      <w:r w:rsidR="00F153F7">
        <w:t xml:space="preserve"> </w:t>
      </w:r>
      <w:r w:rsidR="007E2C3B">
        <w:t>Of these, 63% (</w:t>
      </w:r>
      <w:r w:rsidR="00D7764A">
        <w:t>3798</w:t>
      </w:r>
      <w:r w:rsidR="007E2C3B">
        <w:t>)</w:t>
      </w:r>
      <w:r w:rsidR="009D529A">
        <w:t xml:space="preserve"> are only present in the Swiss list. </w:t>
      </w:r>
    </w:p>
    <w:p w:rsidR="00DD6A08" w:rsidRDefault="00DD6A08" w:rsidP="004E2EA6">
      <w:pPr>
        <w:spacing w:after="0" w:line="480" w:lineRule="auto"/>
        <w:jc w:val="both"/>
      </w:pPr>
    </w:p>
    <w:p w:rsidR="00DD6A08" w:rsidRPr="00226C39" w:rsidRDefault="000D7A28" w:rsidP="004E2EA6">
      <w:pPr>
        <w:spacing w:after="0" w:line="480" w:lineRule="auto"/>
        <w:jc w:val="both"/>
        <w:rPr>
          <w:b/>
        </w:rPr>
      </w:pPr>
      <w:r w:rsidRPr="007E5847">
        <w:rPr>
          <w:b/>
        </w:rPr>
        <w:t xml:space="preserve">3.2. </w:t>
      </w:r>
      <w:r w:rsidR="006A7687" w:rsidRPr="00226C39">
        <w:rPr>
          <w:b/>
        </w:rPr>
        <w:t>Composition of the combined inventory by s</w:t>
      </w:r>
      <w:r w:rsidR="00625B1B" w:rsidRPr="00226C39">
        <w:rPr>
          <w:b/>
        </w:rPr>
        <w:t>afety e</w:t>
      </w:r>
      <w:r w:rsidR="00DD6A08" w:rsidRPr="00226C39">
        <w:rPr>
          <w:b/>
        </w:rPr>
        <w:t>valuat</w:t>
      </w:r>
      <w:r w:rsidR="006A7687" w:rsidRPr="00226C39">
        <w:rPr>
          <w:b/>
        </w:rPr>
        <w:t>ion status</w:t>
      </w:r>
    </w:p>
    <w:p w:rsidR="00901A45" w:rsidRDefault="005500AB" w:rsidP="00847469">
      <w:pPr>
        <w:spacing w:after="0" w:line="480" w:lineRule="auto"/>
        <w:jc w:val="both"/>
        <w:rPr>
          <w:noProof/>
          <w:lang w:eastAsia="en-GB"/>
        </w:rPr>
      </w:pPr>
      <w:r w:rsidRPr="00226C39">
        <w:t xml:space="preserve">The </w:t>
      </w:r>
      <w:r w:rsidR="00625B1B" w:rsidRPr="00226C39">
        <w:t xml:space="preserve">safety </w:t>
      </w:r>
      <w:r w:rsidRPr="00226C39">
        <w:t xml:space="preserve">evaluation status of each substance in the different </w:t>
      </w:r>
      <w:r w:rsidR="009120E1" w:rsidRPr="00226C39">
        <w:t>lists was determined</w:t>
      </w:r>
      <w:r w:rsidRPr="00226C39">
        <w:t xml:space="preserve"> by applying the criteria described in </w:t>
      </w:r>
      <w:r w:rsidR="00E30B7F" w:rsidRPr="00226C39">
        <w:t>2.2</w:t>
      </w:r>
      <w:r w:rsidRPr="00226C39">
        <w:t xml:space="preserve">. </w:t>
      </w:r>
      <w:r w:rsidR="00C6595F" w:rsidRPr="00283B56">
        <w:rPr>
          <w:b/>
        </w:rPr>
        <w:t xml:space="preserve">Table </w:t>
      </w:r>
      <w:r w:rsidR="00E30B7F" w:rsidRPr="00283B56">
        <w:rPr>
          <w:b/>
        </w:rPr>
        <w:t>2</w:t>
      </w:r>
      <w:r w:rsidR="00EF210B" w:rsidRPr="00226C39">
        <w:t xml:space="preserve"> illustrates that</w:t>
      </w:r>
      <w:r w:rsidR="000314C7" w:rsidRPr="00226C39">
        <w:t>, in each list,</w:t>
      </w:r>
      <w:r w:rsidR="00EF210B" w:rsidRPr="00226C39">
        <w:t xml:space="preserve"> </w:t>
      </w:r>
      <w:r w:rsidR="00DB34D6" w:rsidRPr="00226C39">
        <w:t xml:space="preserve">the </w:t>
      </w:r>
      <w:r w:rsidR="00C6595F" w:rsidRPr="00226C39">
        <w:t xml:space="preserve">evaluated substances are outnumbered by the non-evaluated </w:t>
      </w:r>
      <w:r w:rsidR="00EF210B" w:rsidRPr="00226C39">
        <w:t>one</w:t>
      </w:r>
      <w:r w:rsidR="004B2B38" w:rsidRPr="00226C39">
        <w:t>s</w:t>
      </w:r>
      <w:r w:rsidR="00C6595F" w:rsidRPr="00226C39">
        <w:t>.</w:t>
      </w:r>
      <w:r w:rsidR="001219BA" w:rsidRPr="00226C39">
        <w:t xml:space="preserve"> E</w:t>
      </w:r>
      <w:r w:rsidR="00F3499C" w:rsidRPr="00226C39">
        <w:t>vidently, zero</w:t>
      </w:r>
      <w:r w:rsidR="009120E1">
        <w:t xml:space="preserve"> non-evaluated substances are included in the Union</w:t>
      </w:r>
      <w:r w:rsidR="00353098">
        <w:t xml:space="preserve"> </w:t>
      </w:r>
      <w:r w:rsidR="009120E1">
        <w:t xml:space="preserve">list </w:t>
      </w:r>
      <w:r w:rsidR="00353098" w:rsidRPr="00353098">
        <w:t>of Reg. (EU) No 10/2011</w:t>
      </w:r>
      <w:r w:rsidR="00353098">
        <w:t>,</w:t>
      </w:r>
      <w:r w:rsidR="00353098" w:rsidRPr="00353098">
        <w:t xml:space="preserve"> </w:t>
      </w:r>
      <w:r w:rsidR="009120E1">
        <w:t xml:space="preserve">as all substances have been authorised for use in the </w:t>
      </w:r>
      <w:r w:rsidR="009120E1">
        <w:lastRenderedPageBreak/>
        <w:t xml:space="preserve">manufacture of plastic FCM. In the </w:t>
      </w:r>
      <w:r w:rsidR="007E5847">
        <w:t xml:space="preserve">final combined </w:t>
      </w:r>
      <w:r w:rsidR="009120E1">
        <w:t xml:space="preserve">inventory, a substance was considered </w:t>
      </w:r>
      <w:r w:rsidR="00316EC3">
        <w:t xml:space="preserve">“evaluated” when </w:t>
      </w:r>
      <w:r w:rsidR="009120E1">
        <w:t xml:space="preserve">it was classified </w:t>
      </w:r>
      <w:r w:rsidR="00316EC3">
        <w:t xml:space="preserve">as such in at least 1 </w:t>
      </w:r>
      <w:r w:rsidR="009120E1">
        <w:t xml:space="preserve">of the </w:t>
      </w:r>
      <w:r w:rsidR="00316EC3">
        <w:t>list</w:t>
      </w:r>
      <w:r w:rsidR="009120E1">
        <w:t xml:space="preserve">s. </w:t>
      </w:r>
      <w:r w:rsidR="00653390">
        <w:t xml:space="preserve">Consequently, </w:t>
      </w:r>
      <w:r w:rsidR="007700A8" w:rsidRPr="00046469">
        <w:t>77%</w:t>
      </w:r>
      <w:r w:rsidR="00C4337B" w:rsidRPr="00046469">
        <w:t xml:space="preserve"> (</w:t>
      </w:r>
      <w:r w:rsidR="009466A3" w:rsidRPr="00046469">
        <w:t>4</w:t>
      </w:r>
      <w:r w:rsidR="00046469" w:rsidRPr="00046469">
        <w:t>6</w:t>
      </w:r>
      <w:r w:rsidR="00046469">
        <w:t>90</w:t>
      </w:r>
      <w:r w:rsidR="00C4337B">
        <w:t>)</w:t>
      </w:r>
      <w:r w:rsidR="00316EC3">
        <w:t xml:space="preserve"> of the unique </w:t>
      </w:r>
      <w:r w:rsidR="00C4337B">
        <w:t>substances</w:t>
      </w:r>
      <w:r w:rsidR="00316EC3">
        <w:t xml:space="preserve"> </w:t>
      </w:r>
      <w:r w:rsidR="008711EC">
        <w:t>is</w:t>
      </w:r>
      <w:r w:rsidR="00C4337B">
        <w:t xml:space="preserve"> </w:t>
      </w:r>
      <w:r w:rsidR="00316EC3">
        <w:t>“non-evaluated”.</w:t>
      </w:r>
      <w:r w:rsidR="00847469">
        <w:t xml:space="preserve"> </w:t>
      </w:r>
      <w:r w:rsidR="008711EC">
        <w:t>T</w:t>
      </w:r>
      <w:r w:rsidR="00265D7B">
        <w:t>he lists in which they are included is provided</w:t>
      </w:r>
      <w:r w:rsidR="00847469">
        <w:t xml:space="preserve"> in </w:t>
      </w:r>
      <w:r w:rsidR="00847469" w:rsidRPr="00E82E28">
        <w:rPr>
          <w:b/>
        </w:rPr>
        <w:t>Figure 3</w:t>
      </w:r>
      <w:r w:rsidR="00847469">
        <w:t>.</w:t>
      </w:r>
      <w:r w:rsidR="003A6480">
        <w:t xml:space="preserve"> </w:t>
      </w:r>
      <w:r w:rsidR="00233B74">
        <w:t xml:space="preserve">Seventy-six </w:t>
      </w:r>
      <w:proofErr w:type="spellStart"/>
      <w:r w:rsidR="00233B74">
        <w:t>percent</w:t>
      </w:r>
      <w:proofErr w:type="spellEnd"/>
      <w:r w:rsidR="00233B74">
        <w:t xml:space="preserve"> (356</w:t>
      </w:r>
      <w:r w:rsidR="00336385">
        <w:t>5</w:t>
      </w:r>
      <w:r w:rsidR="008711EC">
        <w:t xml:space="preserve">) </w:t>
      </w:r>
      <w:r w:rsidR="003A6480">
        <w:t>o</w:t>
      </w:r>
      <w:r w:rsidR="008675FD">
        <w:t>f the non-evaluated compounds is</w:t>
      </w:r>
      <w:r w:rsidR="003A6480">
        <w:t xml:space="preserve"> intended to be used in printing i</w:t>
      </w:r>
      <w:r w:rsidR="00E82E28">
        <w:t>nks but not in paper and board</w:t>
      </w:r>
      <w:r w:rsidR="00E82E28">
        <w:rPr>
          <w:noProof/>
          <w:lang w:eastAsia="en-GB"/>
        </w:rPr>
        <w:t>.</w:t>
      </w:r>
    </w:p>
    <w:p w:rsidR="00E82E28" w:rsidRDefault="00E82E28" w:rsidP="00847469">
      <w:pPr>
        <w:spacing w:after="0" w:line="480" w:lineRule="auto"/>
        <w:jc w:val="both"/>
      </w:pPr>
    </w:p>
    <w:p w:rsidR="003D513B" w:rsidRDefault="000D7A28" w:rsidP="00E62E3B">
      <w:pPr>
        <w:spacing w:after="0" w:line="480" w:lineRule="auto"/>
        <w:jc w:val="both"/>
        <w:rPr>
          <w:b/>
          <w:i/>
        </w:rPr>
      </w:pPr>
      <w:r w:rsidRPr="00F30E77">
        <w:rPr>
          <w:b/>
        </w:rPr>
        <w:t>3.3.</w:t>
      </w:r>
      <w:r>
        <w:rPr>
          <w:b/>
          <w:i/>
        </w:rPr>
        <w:t xml:space="preserve"> </w:t>
      </w:r>
      <w:r w:rsidR="00F30E77">
        <w:rPr>
          <w:b/>
        </w:rPr>
        <w:t>C</w:t>
      </w:r>
      <w:r w:rsidR="003D513B" w:rsidRPr="00F30E77">
        <w:rPr>
          <w:b/>
        </w:rPr>
        <w:t>omposition</w:t>
      </w:r>
      <w:r w:rsidR="00F30E77">
        <w:rPr>
          <w:b/>
        </w:rPr>
        <w:t xml:space="preserve"> of the combined inventory</w:t>
      </w:r>
      <w:r w:rsidR="003D513B" w:rsidRPr="00F30E77">
        <w:rPr>
          <w:b/>
        </w:rPr>
        <w:t xml:space="preserve"> by substance type</w:t>
      </w:r>
    </w:p>
    <w:p w:rsidR="00842B27" w:rsidRDefault="002B32CA" w:rsidP="003D513B">
      <w:pPr>
        <w:spacing w:after="0" w:line="480" w:lineRule="auto"/>
        <w:jc w:val="both"/>
      </w:pPr>
      <w:r w:rsidRPr="00E82E28">
        <w:rPr>
          <w:b/>
          <w:lang w:val="en-US"/>
        </w:rPr>
        <w:t>Figure 4</w:t>
      </w:r>
      <w:r w:rsidRPr="00215197">
        <w:rPr>
          <w:lang w:val="en-US"/>
        </w:rPr>
        <w:t xml:space="preserve"> illustrates the classification of the 60</w:t>
      </w:r>
      <w:r w:rsidR="00090812">
        <w:rPr>
          <w:lang w:val="en-US"/>
        </w:rPr>
        <w:t>73</w:t>
      </w:r>
      <w:r w:rsidRPr="00215197">
        <w:rPr>
          <w:lang w:val="en-US"/>
        </w:rPr>
        <w:t xml:space="preserve"> unique substances of the </w:t>
      </w:r>
      <w:r w:rsidR="00B105D5">
        <w:rPr>
          <w:lang w:val="en-US"/>
        </w:rPr>
        <w:t>combined</w:t>
      </w:r>
      <w:r w:rsidRPr="00215197">
        <w:rPr>
          <w:lang w:val="en-US"/>
        </w:rPr>
        <w:t xml:space="preserve"> inventory by substance type</w:t>
      </w:r>
      <w:r>
        <w:rPr>
          <w:lang w:val="en-US"/>
        </w:rPr>
        <w:t>.</w:t>
      </w:r>
      <w:r>
        <w:t xml:space="preserve"> </w:t>
      </w:r>
      <w:r w:rsidR="004800DC">
        <w:t>S</w:t>
      </w:r>
      <w:r w:rsidR="003D513B">
        <w:t xml:space="preserve">ingle substances account for the largest part of the inventory </w:t>
      </w:r>
      <w:r w:rsidR="00762FBA">
        <w:t>(42%)</w:t>
      </w:r>
      <w:r w:rsidR="004800DC">
        <w:t>, followed by</w:t>
      </w:r>
      <w:r w:rsidR="002D0099">
        <w:t xml:space="preserve"> </w:t>
      </w:r>
      <w:r w:rsidR="003D513B">
        <w:t>polymers and mixtures</w:t>
      </w:r>
      <w:r w:rsidR="004800DC">
        <w:t>.</w:t>
      </w:r>
      <w:r w:rsidR="003D513B">
        <w:t xml:space="preserve"> </w:t>
      </w:r>
      <w:r w:rsidR="00AD1E0D">
        <w:t>Finally, 20%</w:t>
      </w:r>
      <w:r w:rsidR="00762FBA">
        <w:t xml:space="preserve"> </w:t>
      </w:r>
      <w:r w:rsidR="00302E6D">
        <w:t xml:space="preserve">are </w:t>
      </w:r>
      <w:r w:rsidR="00AD1E0D">
        <w:t xml:space="preserve">other substances, </w:t>
      </w:r>
      <w:r w:rsidR="00302E6D">
        <w:t xml:space="preserve">comprising </w:t>
      </w:r>
      <w:r w:rsidR="00BE0212">
        <w:t>among</w:t>
      </w:r>
      <w:r w:rsidR="00AD1E0D">
        <w:t xml:space="preserve"> others metal complexes and inorganic substances</w:t>
      </w:r>
      <w:r w:rsidR="003D513B">
        <w:t xml:space="preserve">. </w:t>
      </w:r>
    </w:p>
    <w:p w:rsidR="003A6480" w:rsidRDefault="003A6480" w:rsidP="003D513B">
      <w:pPr>
        <w:spacing w:after="0" w:line="480" w:lineRule="auto"/>
        <w:jc w:val="both"/>
      </w:pPr>
    </w:p>
    <w:p w:rsidR="00842B27" w:rsidRDefault="00DA6579" w:rsidP="003D513B">
      <w:pPr>
        <w:spacing w:after="0" w:line="480" w:lineRule="auto"/>
        <w:jc w:val="both"/>
      </w:pPr>
      <w:r>
        <w:t xml:space="preserve">Sixty-nine </w:t>
      </w:r>
      <w:proofErr w:type="spellStart"/>
      <w:r>
        <w:t>percent</w:t>
      </w:r>
      <w:proofErr w:type="spellEnd"/>
      <w:r w:rsidR="00D01D0E">
        <w:t xml:space="preserve"> (1769)</w:t>
      </w:r>
      <w:r>
        <w:t xml:space="preserve"> of t</w:t>
      </w:r>
      <w:r w:rsidR="00F234FA" w:rsidRPr="00F234FA">
        <w:t xml:space="preserve">he single substances </w:t>
      </w:r>
      <w:r w:rsidR="00315BFB">
        <w:t>are non-evaluated</w:t>
      </w:r>
      <w:r w:rsidR="00453643">
        <w:t xml:space="preserve"> (</w:t>
      </w:r>
      <w:r w:rsidR="00453643" w:rsidRPr="00E1635F">
        <w:rPr>
          <w:b/>
        </w:rPr>
        <w:t>Figure 5</w:t>
      </w:r>
      <w:r w:rsidR="00453643">
        <w:t>), which again is</w:t>
      </w:r>
      <w:r w:rsidR="00FC0D7A">
        <w:t xml:space="preserve"> considerably higher than </w:t>
      </w:r>
      <w:r w:rsidR="00BD3F62">
        <w:t>the percentage of</w:t>
      </w:r>
      <w:r w:rsidR="00FC0D7A">
        <w:t xml:space="preserve"> evaluated</w:t>
      </w:r>
      <w:r w:rsidR="008847C9">
        <w:t xml:space="preserve"> ones</w:t>
      </w:r>
      <w:r w:rsidR="00FC0D7A">
        <w:t>.</w:t>
      </w:r>
      <w:r w:rsidR="00405692">
        <w:t xml:space="preserve"> </w:t>
      </w:r>
      <w:r w:rsidR="00FC0D7A">
        <w:t xml:space="preserve">Most of the </w:t>
      </w:r>
      <w:r w:rsidR="00405692">
        <w:t xml:space="preserve">non-evaluated </w:t>
      </w:r>
      <w:r w:rsidR="00FC0D7A">
        <w:t xml:space="preserve">single </w:t>
      </w:r>
      <w:r w:rsidR="00405692">
        <w:t xml:space="preserve">substances </w:t>
      </w:r>
      <w:r w:rsidR="00FC0D7A">
        <w:t>are intended to be used</w:t>
      </w:r>
      <w:r w:rsidR="00405692">
        <w:t xml:space="preserve"> in printing inks</w:t>
      </w:r>
      <w:r w:rsidR="00FC0D7A">
        <w:t xml:space="preserve">. </w:t>
      </w:r>
      <w:r w:rsidR="00405692">
        <w:t xml:space="preserve"> </w:t>
      </w:r>
    </w:p>
    <w:p w:rsidR="00DD3722" w:rsidRDefault="00DD3722" w:rsidP="00E62E3B">
      <w:pPr>
        <w:spacing w:after="0" w:line="480" w:lineRule="auto"/>
        <w:jc w:val="both"/>
        <w:rPr>
          <w:b/>
          <w:i/>
        </w:rPr>
      </w:pPr>
    </w:p>
    <w:p w:rsidR="00DD3722" w:rsidRPr="003A6480" w:rsidRDefault="000D7A28" w:rsidP="00E62E3B">
      <w:pPr>
        <w:spacing w:after="0" w:line="480" w:lineRule="auto"/>
        <w:jc w:val="both"/>
        <w:rPr>
          <w:b/>
        </w:rPr>
      </w:pPr>
      <w:r w:rsidRPr="003A6480">
        <w:rPr>
          <w:b/>
        </w:rPr>
        <w:t xml:space="preserve">3.4. </w:t>
      </w:r>
      <w:r w:rsidR="00E62E3B" w:rsidRPr="003A6480">
        <w:rPr>
          <w:b/>
        </w:rPr>
        <w:t xml:space="preserve">Physicochemical properties of </w:t>
      </w:r>
      <w:r w:rsidRPr="003A6480">
        <w:rPr>
          <w:b/>
        </w:rPr>
        <w:t xml:space="preserve">the non-evaluated </w:t>
      </w:r>
      <w:r w:rsidR="00E62E3B" w:rsidRPr="003A6480">
        <w:rPr>
          <w:b/>
        </w:rPr>
        <w:t>single substances</w:t>
      </w:r>
    </w:p>
    <w:p w:rsidR="00905110" w:rsidRPr="00226C39" w:rsidRDefault="00783979" w:rsidP="00905110">
      <w:pPr>
        <w:pStyle w:val="ListParagraph"/>
        <w:spacing w:after="0" w:line="480" w:lineRule="auto"/>
        <w:ind w:left="0"/>
        <w:jc w:val="both"/>
        <w:rPr>
          <w:shd w:val="clear" w:color="auto" w:fill="FFFFFF" w:themeFill="background1"/>
        </w:rPr>
      </w:pPr>
      <w:r w:rsidRPr="00D30E99">
        <w:rPr>
          <w:b/>
        </w:rPr>
        <w:t>Figure 6</w:t>
      </w:r>
      <w:r w:rsidR="004D6BF9" w:rsidRPr="00226C39">
        <w:t xml:space="preserve"> shows</w:t>
      </w:r>
      <w:r w:rsidR="00874125" w:rsidRPr="00226C39">
        <w:t xml:space="preserve"> the results of the a</w:t>
      </w:r>
      <w:r w:rsidR="002B10B7" w:rsidRPr="00226C39">
        <w:t xml:space="preserve">nalysis of the physicochemical properties of the </w:t>
      </w:r>
      <w:r w:rsidR="00842B27" w:rsidRPr="00226C39">
        <w:t>17</w:t>
      </w:r>
      <w:r w:rsidR="00A907C0" w:rsidRPr="00226C39">
        <w:t>69</w:t>
      </w:r>
      <w:r w:rsidR="002B10B7" w:rsidRPr="00226C39">
        <w:t xml:space="preserve"> non-evaluated </w:t>
      </w:r>
      <w:r w:rsidR="00842B27" w:rsidRPr="00226C39">
        <w:t xml:space="preserve">single </w:t>
      </w:r>
      <w:r w:rsidR="002B10B7" w:rsidRPr="00226C39">
        <w:t xml:space="preserve">substances. </w:t>
      </w:r>
      <w:r w:rsidR="009335A1" w:rsidRPr="00226C39">
        <w:t>One thousand seven hundred and twenty-one (97%)</w:t>
      </w:r>
      <w:r w:rsidR="00A274E9" w:rsidRPr="00226C39">
        <w:t xml:space="preserve"> of the non-evaluated single substances have a </w:t>
      </w:r>
      <w:r w:rsidR="00547491" w:rsidRPr="00226C39">
        <w:t>mo</w:t>
      </w:r>
      <w:r w:rsidR="004D6BF9" w:rsidRPr="00226C39">
        <w:t>lecular weight below 1000 g/</w:t>
      </w:r>
      <w:proofErr w:type="spellStart"/>
      <w:r w:rsidR="004D6BF9" w:rsidRPr="00226C39">
        <w:t>mol</w:t>
      </w:r>
      <w:proofErr w:type="spellEnd"/>
      <w:r w:rsidR="00547491" w:rsidRPr="00226C39">
        <w:t xml:space="preserve">, </w:t>
      </w:r>
      <w:r w:rsidR="00874125" w:rsidRPr="00226C39">
        <w:t xml:space="preserve">indicating </w:t>
      </w:r>
      <w:r w:rsidR="00547491" w:rsidRPr="00226C39">
        <w:t xml:space="preserve">that the vast majority </w:t>
      </w:r>
      <w:r w:rsidR="007E33D6" w:rsidRPr="00226C39">
        <w:t>has the potential</w:t>
      </w:r>
      <w:r w:rsidR="00A274E9" w:rsidRPr="00226C39">
        <w:rPr>
          <w:shd w:val="clear" w:color="auto" w:fill="FFFFFF" w:themeFill="background1"/>
        </w:rPr>
        <w:t xml:space="preserve"> to migrate from the FCM into the food</w:t>
      </w:r>
      <w:r w:rsidR="00547491" w:rsidRPr="00226C39">
        <w:t xml:space="preserve">. </w:t>
      </w:r>
      <w:r w:rsidR="001A7BA1" w:rsidRPr="00226C39">
        <w:t xml:space="preserve">Substances with a low molecular weight </w:t>
      </w:r>
      <w:r w:rsidR="004D6BF9" w:rsidRPr="00226C39">
        <w:t>could</w:t>
      </w:r>
      <w:r w:rsidR="00441F2C" w:rsidRPr="00226C39">
        <w:t xml:space="preserve"> also</w:t>
      </w:r>
      <w:r w:rsidR="001A7BA1" w:rsidRPr="00226C39">
        <w:t xml:space="preserve"> become bioavailable after oral intake and consequently, </w:t>
      </w:r>
      <w:r w:rsidR="00412BEF" w:rsidRPr="00226C39">
        <w:t>induce</w:t>
      </w:r>
      <w:r w:rsidR="001A7BA1" w:rsidRPr="00226C39">
        <w:t xml:space="preserve"> a</w:t>
      </w:r>
      <w:r w:rsidR="00EB03BD" w:rsidRPr="00226C39">
        <w:t xml:space="preserve"> toxic effect.</w:t>
      </w:r>
      <w:r w:rsidR="00D550D4" w:rsidRPr="00226C39">
        <w:t xml:space="preserve"> </w:t>
      </w:r>
      <w:r w:rsidR="00175FD9" w:rsidRPr="00226C39">
        <w:t>As</w:t>
      </w:r>
      <w:r w:rsidR="00205E0D" w:rsidRPr="00226C39">
        <w:t xml:space="preserve"> </w:t>
      </w:r>
      <w:r w:rsidR="009335A1" w:rsidRPr="00226C39">
        <w:t>1530 (</w:t>
      </w:r>
      <w:r w:rsidR="00205E0D" w:rsidRPr="00226C39">
        <w:t>86%</w:t>
      </w:r>
      <w:r w:rsidR="009335A1" w:rsidRPr="00226C39">
        <w:t>)</w:t>
      </w:r>
      <w:r w:rsidR="00175FD9" w:rsidRPr="00226C39">
        <w:t xml:space="preserve"> of the non-evaluated single substances</w:t>
      </w:r>
      <w:r w:rsidR="00205E0D" w:rsidRPr="00226C39">
        <w:t xml:space="preserve"> show not more than 1 violation of the Lipinski rule</w:t>
      </w:r>
      <w:r w:rsidR="00175FD9" w:rsidRPr="00226C39">
        <w:t>, t</w:t>
      </w:r>
      <w:r w:rsidR="00205E0D" w:rsidRPr="00226C39">
        <w:t>hese</w:t>
      </w:r>
      <w:r w:rsidR="00905110" w:rsidRPr="00226C39">
        <w:t xml:space="preserve"> </w:t>
      </w:r>
      <w:r w:rsidR="00175FD9" w:rsidRPr="00226C39">
        <w:t>are likely to be</w:t>
      </w:r>
      <w:r w:rsidR="009335A1" w:rsidRPr="00226C39">
        <w:t>come</w:t>
      </w:r>
      <w:r w:rsidR="00175FD9" w:rsidRPr="00226C39">
        <w:t xml:space="preserve"> bioavailable</w:t>
      </w:r>
      <w:r w:rsidR="00905110" w:rsidRPr="00226C39">
        <w:t>.</w:t>
      </w:r>
      <w:r w:rsidR="004A6297" w:rsidRPr="00226C39">
        <w:t xml:space="preserve"> </w:t>
      </w:r>
      <w:r w:rsidR="00905110" w:rsidRPr="00226C39">
        <w:rPr>
          <w:shd w:val="clear" w:color="auto" w:fill="FFFFFF" w:themeFill="background1"/>
        </w:rPr>
        <w:t xml:space="preserve">Oral bioavailability has </w:t>
      </w:r>
      <w:r w:rsidR="00487D8A" w:rsidRPr="00226C39">
        <w:rPr>
          <w:shd w:val="clear" w:color="auto" w:fill="FFFFFF" w:themeFill="background1"/>
        </w:rPr>
        <w:t>furthermore</w:t>
      </w:r>
      <w:r w:rsidR="00905110" w:rsidRPr="00226C39">
        <w:rPr>
          <w:shd w:val="clear" w:color="auto" w:fill="FFFFFF" w:themeFill="background1"/>
        </w:rPr>
        <w:t xml:space="preserve"> been linked to </w:t>
      </w:r>
      <w:r w:rsidR="00A64A6D" w:rsidRPr="00226C39">
        <w:rPr>
          <w:shd w:val="clear" w:color="auto" w:fill="FFFFFF" w:themeFill="background1"/>
        </w:rPr>
        <w:t xml:space="preserve">a </w:t>
      </w:r>
      <w:r w:rsidR="00905110" w:rsidRPr="00226C39">
        <w:rPr>
          <w:shd w:val="clear" w:color="auto" w:fill="FFFFFF" w:themeFill="background1"/>
        </w:rPr>
        <w:t xml:space="preserve">polar surface area </w:t>
      </w:r>
      <w:r w:rsidR="00487D8A" w:rsidRPr="00226C39">
        <w:rPr>
          <w:shd w:val="clear" w:color="auto" w:fill="FFFFFF" w:themeFill="background1"/>
        </w:rPr>
        <w:t xml:space="preserve">below </w:t>
      </w:r>
      <w:r w:rsidR="00D01D0E" w:rsidRPr="00226C39">
        <w:rPr>
          <w:shd w:val="clear" w:color="auto" w:fill="FFFFFF" w:themeFill="background1"/>
        </w:rPr>
        <w:t xml:space="preserve">or equal to </w:t>
      </w:r>
      <w:r w:rsidR="00A64A6D" w:rsidRPr="00226C39">
        <w:rPr>
          <w:shd w:val="clear" w:color="auto" w:fill="FFFFFF" w:themeFill="background1"/>
        </w:rPr>
        <w:t xml:space="preserve">140 </w:t>
      </w:r>
      <w:proofErr w:type="spellStart"/>
      <w:r w:rsidR="00A64A6D" w:rsidRPr="00226C39">
        <w:rPr>
          <w:shd w:val="clear" w:color="auto" w:fill="FFFFFF" w:themeFill="background1"/>
        </w:rPr>
        <w:t>Angström</w:t>
      </w:r>
      <w:proofErr w:type="spellEnd"/>
      <w:r w:rsidR="00A64A6D" w:rsidRPr="00226C39">
        <w:rPr>
          <w:shd w:val="clear" w:color="auto" w:fill="FFFFFF" w:themeFill="background1"/>
        </w:rPr>
        <w:t xml:space="preserve"> </w:t>
      </w:r>
      <w:r w:rsidR="00905110" w:rsidRPr="00226C39">
        <w:rPr>
          <w:shd w:val="clear" w:color="auto" w:fill="FFFFFF" w:themeFill="background1"/>
        </w:rPr>
        <w:t xml:space="preserve">and </w:t>
      </w:r>
      <w:r w:rsidR="00A64A6D" w:rsidRPr="00226C39">
        <w:rPr>
          <w:shd w:val="clear" w:color="auto" w:fill="FFFFFF" w:themeFill="background1"/>
        </w:rPr>
        <w:t xml:space="preserve">a </w:t>
      </w:r>
      <w:r w:rsidR="00905110" w:rsidRPr="00226C39">
        <w:rPr>
          <w:shd w:val="clear" w:color="auto" w:fill="FFFFFF" w:themeFill="background1"/>
        </w:rPr>
        <w:t xml:space="preserve">number of rotating bonds </w:t>
      </w:r>
      <w:r w:rsidR="00487D8A" w:rsidRPr="00226C39">
        <w:rPr>
          <w:shd w:val="clear" w:color="auto" w:fill="FFFFFF" w:themeFill="background1"/>
        </w:rPr>
        <w:t>below</w:t>
      </w:r>
      <w:r w:rsidR="009A7B3A" w:rsidRPr="00226C39">
        <w:rPr>
          <w:shd w:val="clear" w:color="auto" w:fill="FFFFFF" w:themeFill="background1"/>
        </w:rPr>
        <w:t xml:space="preserve"> </w:t>
      </w:r>
      <w:r w:rsidR="00FC31BF" w:rsidRPr="00226C39">
        <w:rPr>
          <w:shd w:val="clear" w:color="auto" w:fill="FFFFFF" w:themeFill="background1"/>
        </w:rPr>
        <w:t xml:space="preserve">or equal </w:t>
      </w:r>
      <w:r w:rsidR="00FC31BF" w:rsidRPr="00226C39">
        <w:rPr>
          <w:shd w:val="clear" w:color="auto" w:fill="FFFFFF" w:themeFill="background1"/>
        </w:rPr>
        <w:lastRenderedPageBreak/>
        <w:t xml:space="preserve">to </w:t>
      </w:r>
      <w:r w:rsidR="009A7B3A" w:rsidRPr="00226C39">
        <w:rPr>
          <w:shd w:val="clear" w:color="auto" w:fill="FFFFFF" w:themeFill="background1"/>
        </w:rPr>
        <w:t>10</w:t>
      </w:r>
      <w:r w:rsidR="00023425" w:rsidRPr="00226C39">
        <w:rPr>
          <w:shd w:val="clear" w:color="auto" w:fill="FFFFFF" w:themeFill="background1"/>
        </w:rPr>
        <w:t>, which is the case for</w:t>
      </w:r>
      <w:r w:rsidR="00A64A6D" w:rsidRPr="00226C39">
        <w:rPr>
          <w:shd w:val="clear" w:color="auto" w:fill="FFFFFF" w:themeFill="background1"/>
        </w:rPr>
        <w:t xml:space="preserve"> </w:t>
      </w:r>
      <w:r w:rsidR="009335A1" w:rsidRPr="00226C39">
        <w:rPr>
          <w:shd w:val="clear" w:color="auto" w:fill="FFFFFF" w:themeFill="background1"/>
        </w:rPr>
        <w:t>1634 (</w:t>
      </w:r>
      <w:r w:rsidR="00874125" w:rsidRPr="00226C39">
        <w:rPr>
          <w:shd w:val="clear" w:color="auto" w:fill="FFFFFF" w:themeFill="background1"/>
        </w:rPr>
        <w:t>92%</w:t>
      </w:r>
      <w:r w:rsidR="009335A1" w:rsidRPr="00226C39">
        <w:rPr>
          <w:shd w:val="clear" w:color="auto" w:fill="FFFFFF" w:themeFill="background1"/>
        </w:rPr>
        <w:t>)</w:t>
      </w:r>
      <w:r w:rsidR="00A64A6D" w:rsidRPr="00226C39">
        <w:rPr>
          <w:shd w:val="clear" w:color="auto" w:fill="FFFFFF" w:themeFill="background1"/>
        </w:rPr>
        <w:t xml:space="preserve"> and </w:t>
      </w:r>
      <w:r w:rsidR="009335A1" w:rsidRPr="00226C39">
        <w:rPr>
          <w:shd w:val="clear" w:color="auto" w:fill="FFFFFF" w:themeFill="background1"/>
        </w:rPr>
        <w:t>1339 (</w:t>
      </w:r>
      <w:r w:rsidR="00874125" w:rsidRPr="00226C39">
        <w:rPr>
          <w:shd w:val="clear" w:color="auto" w:fill="FFFFFF" w:themeFill="background1"/>
        </w:rPr>
        <w:t>76%</w:t>
      </w:r>
      <w:r w:rsidR="009335A1" w:rsidRPr="00226C39">
        <w:rPr>
          <w:shd w:val="clear" w:color="auto" w:fill="FFFFFF" w:themeFill="background1"/>
        </w:rPr>
        <w:t>)</w:t>
      </w:r>
      <w:r w:rsidR="00874125" w:rsidRPr="00226C39">
        <w:rPr>
          <w:shd w:val="clear" w:color="auto" w:fill="FFFFFF" w:themeFill="background1"/>
        </w:rPr>
        <w:t xml:space="preserve"> of the </w:t>
      </w:r>
      <w:r w:rsidR="00A64A6D" w:rsidRPr="00226C39">
        <w:rPr>
          <w:shd w:val="clear" w:color="auto" w:fill="FFFFFF" w:themeFill="background1"/>
        </w:rPr>
        <w:t>compounds</w:t>
      </w:r>
      <w:r w:rsidR="001A75B2" w:rsidRPr="00226C39">
        <w:rPr>
          <w:shd w:val="clear" w:color="auto" w:fill="FFFFFF" w:themeFill="background1"/>
        </w:rPr>
        <w:t>,</w:t>
      </w:r>
      <w:r w:rsidR="00023425" w:rsidRPr="00226C39">
        <w:rPr>
          <w:shd w:val="clear" w:color="auto" w:fill="FFFFFF" w:themeFill="background1"/>
        </w:rPr>
        <w:t xml:space="preserve"> respectively</w:t>
      </w:r>
      <w:r w:rsidR="00A64A6D" w:rsidRPr="00226C39">
        <w:rPr>
          <w:shd w:val="clear" w:color="auto" w:fill="FFFFFF" w:themeFill="background1"/>
        </w:rPr>
        <w:t xml:space="preserve">. </w:t>
      </w:r>
      <w:r w:rsidR="009335A1" w:rsidRPr="00226C39">
        <w:rPr>
          <w:shd w:val="clear" w:color="auto" w:fill="FFFFFF" w:themeFill="background1"/>
        </w:rPr>
        <w:t>Altogether, 1</w:t>
      </w:r>
      <w:r w:rsidR="00412BEF" w:rsidRPr="00226C39">
        <w:rPr>
          <w:shd w:val="clear" w:color="auto" w:fill="FFFFFF" w:themeFill="background1"/>
        </w:rPr>
        <w:t>131</w:t>
      </w:r>
      <w:r w:rsidR="00FA5E3E" w:rsidRPr="00226C39">
        <w:rPr>
          <w:shd w:val="clear" w:color="auto" w:fill="FFFFFF" w:themeFill="background1"/>
        </w:rPr>
        <w:t xml:space="preserve"> (64</w:t>
      </w:r>
      <w:r w:rsidR="009335A1" w:rsidRPr="00226C39">
        <w:rPr>
          <w:shd w:val="clear" w:color="auto" w:fill="FFFFFF" w:themeFill="background1"/>
        </w:rPr>
        <w:t>%) compounds meet all of the above criteria.</w:t>
      </w:r>
    </w:p>
    <w:p w:rsidR="00B76953" w:rsidRPr="00D30E99" w:rsidRDefault="009335A1" w:rsidP="00D30E99">
      <w:pPr>
        <w:spacing w:after="0" w:line="480" w:lineRule="auto"/>
        <w:ind w:left="-567"/>
        <w:jc w:val="both"/>
      </w:pPr>
      <w:r>
        <w:rPr>
          <w:noProof/>
          <w:lang w:eastAsia="en-GB"/>
        </w:rPr>
        <w:t xml:space="preserve">      </w:t>
      </w:r>
      <w:r w:rsidR="00F40D42">
        <w:rPr>
          <w:noProof/>
          <w:lang w:eastAsia="en-GB"/>
        </w:rPr>
        <w:t xml:space="preserve">      </w:t>
      </w:r>
      <w:r w:rsidR="00D30E99">
        <w:rPr>
          <w:noProof/>
          <w:lang w:eastAsia="en-GB"/>
        </w:rPr>
        <w:t xml:space="preserve">                    </w:t>
      </w:r>
    </w:p>
    <w:p w:rsidR="00D70F60" w:rsidRPr="00103A8C" w:rsidRDefault="00D70F60" w:rsidP="00FA5E3E">
      <w:pPr>
        <w:spacing w:after="0" w:line="480" w:lineRule="auto"/>
        <w:jc w:val="both"/>
        <w:rPr>
          <w:b/>
        </w:rPr>
      </w:pPr>
      <w:r w:rsidRPr="00103A8C">
        <w:rPr>
          <w:b/>
        </w:rPr>
        <w:t xml:space="preserve">3.5. </w:t>
      </w:r>
      <w:r w:rsidR="003C2825" w:rsidRPr="00103A8C">
        <w:rPr>
          <w:b/>
        </w:rPr>
        <w:t>Use of the non-evaluated single substances showing hig</w:t>
      </w:r>
      <w:r w:rsidR="00FA5E3E" w:rsidRPr="00103A8C">
        <w:rPr>
          <w:b/>
        </w:rPr>
        <w:t>h migration and bioavailability p</w:t>
      </w:r>
      <w:r w:rsidR="00A2471D" w:rsidRPr="00103A8C">
        <w:rPr>
          <w:b/>
        </w:rPr>
        <w:t>otential for the manufacture of primary packaging FCM</w:t>
      </w:r>
    </w:p>
    <w:p w:rsidR="00A2471D" w:rsidRPr="00103A8C" w:rsidRDefault="00AA75AB" w:rsidP="00412DBF">
      <w:pPr>
        <w:spacing w:after="0" w:line="480" w:lineRule="auto"/>
        <w:jc w:val="both"/>
      </w:pPr>
      <w:r w:rsidRPr="00103A8C">
        <w:t>Of the 1131</w:t>
      </w:r>
      <w:r w:rsidR="00AB33F5" w:rsidRPr="00103A8C">
        <w:t xml:space="preserve"> substances that demonstrate physicochemical properties related to high migration and bioavailability potential, </w:t>
      </w:r>
      <w:r w:rsidRPr="00103A8C">
        <w:t>1095</w:t>
      </w:r>
      <w:r w:rsidR="00AB33F5" w:rsidRPr="00103A8C">
        <w:t xml:space="preserve"> </w:t>
      </w:r>
      <w:r w:rsidRPr="00103A8C">
        <w:t>(</w:t>
      </w:r>
      <w:r w:rsidR="00B92138" w:rsidRPr="00103A8C">
        <w:t>97</w:t>
      </w:r>
      <w:r w:rsidR="00AB33F5" w:rsidRPr="00103A8C">
        <w:t>%) are used to produce primary packaging FCM, as indicated by the FACET tool.</w:t>
      </w:r>
      <w:r w:rsidR="00B16127" w:rsidRPr="00103A8C">
        <w:t xml:space="preserve"> </w:t>
      </w:r>
    </w:p>
    <w:p w:rsidR="00A2471D" w:rsidRPr="003C7CFE" w:rsidRDefault="00A2471D" w:rsidP="00412DBF">
      <w:pPr>
        <w:spacing w:after="0" w:line="480" w:lineRule="auto"/>
        <w:jc w:val="both"/>
        <w:rPr>
          <w:highlight w:val="yellow"/>
        </w:rPr>
      </w:pPr>
    </w:p>
    <w:p w:rsidR="00A2471D" w:rsidRPr="00125FDC" w:rsidRDefault="00A2471D" w:rsidP="00412DBF">
      <w:pPr>
        <w:spacing w:after="0" w:line="480" w:lineRule="auto"/>
        <w:jc w:val="both"/>
        <w:rPr>
          <w:b/>
        </w:rPr>
      </w:pPr>
      <w:r w:rsidRPr="00125FDC">
        <w:rPr>
          <w:b/>
        </w:rPr>
        <w:t xml:space="preserve">3.6. Registration under </w:t>
      </w:r>
      <w:r w:rsidR="003B3839" w:rsidRPr="00125FDC">
        <w:rPr>
          <w:b/>
        </w:rPr>
        <w:t xml:space="preserve">REACH and inclusion in lists with </w:t>
      </w:r>
      <w:r w:rsidRPr="00125FDC">
        <w:rPr>
          <w:b/>
        </w:rPr>
        <w:t xml:space="preserve">chemicals of (potential) concern compiled by ECHA </w:t>
      </w:r>
    </w:p>
    <w:p w:rsidR="00B92138" w:rsidRPr="00F334D6" w:rsidRDefault="001607DE" w:rsidP="00F334D6">
      <w:pPr>
        <w:spacing w:after="0" w:line="480" w:lineRule="auto"/>
        <w:jc w:val="both"/>
      </w:pPr>
      <w:r w:rsidRPr="00125FDC">
        <w:t xml:space="preserve">Fifty-six </w:t>
      </w:r>
      <w:proofErr w:type="spellStart"/>
      <w:r w:rsidRPr="00125FDC">
        <w:t>percent</w:t>
      </w:r>
      <w:proofErr w:type="spellEnd"/>
      <w:r w:rsidRPr="00125FDC">
        <w:t xml:space="preserve"> (613) of the substances demonstrating physicochemical properties related to high migration and bioavailability potential </w:t>
      </w:r>
      <w:r w:rsidR="00E82DBD" w:rsidRPr="00125FDC">
        <w:t>and</w:t>
      </w:r>
      <w:r w:rsidRPr="00125FDC">
        <w:t xml:space="preserve"> included in the FACET tool, </w:t>
      </w:r>
      <w:r w:rsidR="00B16127" w:rsidRPr="00125FDC">
        <w:t>are registered under the REACH regulation</w:t>
      </w:r>
      <w:r w:rsidR="00DF3CE9" w:rsidRPr="00125FDC">
        <w:t>.</w:t>
      </w:r>
      <w:r w:rsidR="00DF60FC" w:rsidRPr="00125FDC">
        <w:t xml:space="preserve"> </w:t>
      </w:r>
      <w:r w:rsidRPr="00125FDC">
        <w:t xml:space="preserve">For the registered substances, inclusion in ECHA lists containing substances of (potential) concern was verified. </w:t>
      </w:r>
      <w:r w:rsidR="00E64C10" w:rsidRPr="00125FDC">
        <w:t xml:space="preserve">Up to </w:t>
      </w:r>
      <w:r w:rsidRPr="00125FDC">
        <w:t>59</w:t>
      </w:r>
      <w:r w:rsidR="00E64C10" w:rsidRPr="00125FDC">
        <w:rPr>
          <w:vanish/>
        </w:rPr>
        <w:t>59)to 59 ns eds dezelfde woorden te gebruiken...ken aangezien de inventory documents freely available zijn</w:t>
      </w:r>
      <w:r w:rsidR="00E64C10" w:rsidRPr="00125FDC">
        <w:rPr>
          <w:vanish/>
        </w:rPr>
        <w:pgNum/>
      </w:r>
      <w:r w:rsidR="00E64C10" w:rsidRPr="00125FDC">
        <w:rPr>
          <w:vanish/>
        </w:rPr>
        <w:pgNum/>
      </w:r>
      <w:r w:rsidR="00E64C10" w:rsidRPr="00125FDC">
        <w:rPr>
          <w:vanish/>
        </w:rPr>
        <w:pgNum/>
      </w:r>
      <w:r w:rsidR="00E64C10" w:rsidRPr="00125FDC">
        <w:rPr>
          <w:vanish/>
        </w:rPr>
        <w:pgNum/>
      </w:r>
      <w:r w:rsidR="00E64C10" w:rsidRPr="00125FDC">
        <w:rPr>
          <w:vanish/>
        </w:rPr>
        <w:pgNum/>
      </w:r>
      <w:r w:rsidR="00E64C10" w:rsidRPr="00125FDC">
        <w:rPr>
          <w:vanish/>
        </w:rPr>
        <w:pgNum/>
      </w:r>
      <w:r w:rsidR="00E64C10" w:rsidRPr="00125FDC">
        <w:rPr>
          <w:vanish/>
        </w:rPr>
        <w:pgNum/>
      </w:r>
      <w:r w:rsidR="00E64C10" w:rsidRPr="00125FDC">
        <w:rPr>
          <w:vanish/>
        </w:rPr>
        <w:pgNum/>
      </w:r>
      <w:r w:rsidR="00E64C10" w:rsidRPr="00125FDC">
        <w:rPr>
          <w:vanish/>
        </w:rPr>
        <w:pgNum/>
      </w:r>
      <w:r w:rsidR="00E64C10" w:rsidRPr="00125FDC">
        <w:rPr>
          <w:vanish/>
        </w:rPr>
        <w:pgNum/>
      </w:r>
      <w:r w:rsidR="00E64C10" w:rsidRPr="00125FDC">
        <w:rPr>
          <w:vanish/>
        </w:rPr>
        <w:pgNum/>
      </w:r>
      <w:r w:rsidR="00E64C10" w:rsidRPr="00125FDC">
        <w:rPr>
          <w:vanish/>
        </w:rPr>
        <w:pgNum/>
      </w:r>
      <w:r w:rsidR="00E64C10" w:rsidRPr="00125FDC">
        <w:rPr>
          <w:vanish/>
        </w:rPr>
        <w:pgNum/>
      </w:r>
      <w:r w:rsidR="00E64C10" w:rsidRPr="00125FDC">
        <w:rPr>
          <w:vanish/>
        </w:rPr>
        <w:pgNum/>
      </w:r>
      <w:r w:rsidR="00E64C10" w:rsidRPr="00125FDC">
        <w:rPr>
          <w:vanish/>
        </w:rPr>
        <w:pgNum/>
      </w:r>
      <w:r w:rsidR="00E64C10" w:rsidRPr="00125FDC">
        <w:rPr>
          <w:vanish/>
        </w:rPr>
        <w:pgNum/>
      </w:r>
      <w:r w:rsidR="00E64C10" w:rsidRPr="00125FDC">
        <w:rPr>
          <w:vanish/>
        </w:rPr>
        <w:pgNum/>
      </w:r>
      <w:r w:rsidR="00E64C10" w:rsidRPr="00125FDC">
        <w:rPr>
          <w:vanish/>
        </w:rPr>
        <w:pgNum/>
      </w:r>
      <w:r w:rsidR="00E64C10" w:rsidRPr="00125FDC">
        <w:rPr>
          <w:vanish/>
        </w:rPr>
        <w:pgNum/>
      </w:r>
      <w:r w:rsidR="00E64C10" w:rsidRPr="00125FDC">
        <w:rPr>
          <w:vanish/>
        </w:rPr>
        <w:pgNum/>
      </w:r>
      <w:r w:rsidR="00E64C10" w:rsidRPr="00125FDC">
        <w:rPr>
          <w:vanish/>
        </w:rPr>
        <w:pgNum/>
      </w:r>
      <w:r w:rsidR="00E64C10" w:rsidRPr="00125FDC">
        <w:rPr>
          <w:vanish/>
        </w:rPr>
        <w:pgNum/>
      </w:r>
      <w:r w:rsidRPr="00125FDC">
        <w:t xml:space="preserve"> were found in the </w:t>
      </w:r>
      <w:proofErr w:type="spellStart"/>
      <w:r w:rsidRPr="00125FDC">
        <w:t>CoRAP</w:t>
      </w:r>
      <w:proofErr w:type="spellEnd"/>
      <w:r w:rsidRPr="00125FDC">
        <w:t xml:space="preserve"> list. An overview of these substances </w:t>
      </w:r>
      <w:r w:rsidR="00E64C10" w:rsidRPr="00125FDC">
        <w:t xml:space="preserve">and </w:t>
      </w:r>
      <w:r w:rsidRPr="00125FDC">
        <w:t>their corresponding concerns is presented in Table 1 of the supplementary data. Eighteen of the registered substances were present in the SVHC list (</w:t>
      </w:r>
      <w:r w:rsidRPr="00FA4437">
        <w:rPr>
          <w:b/>
        </w:rPr>
        <w:t>Table 3</w:t>
      </w:r>
      <w:r w:rsidRPr="00125FDC">
        <w:t xml:space="preserve">). </w:t>
      </w:r>
      <w:r w:rsidR="00B077E3" w:rsidRPr="00125FDC">
        <w:t xml:space="preserve">Toxicity to reproduction was the most prevalent reason of concern, followed by carcinogenicity. </w:t>
      </w:r>
      <w:r w:rsidR="00FF7131" w:rsidRPr="00125FDC">
        <w:t>Importantly, t</w:t>
      </w:r>
      <w:r w:rsidR="00B077E3" w:rsidRPr="00125FDC">
        <w:t xml:space="preserve">wo </w:t>
      </w:r>
      <w:r w:rsidR="00FF7D27" w:rsidRPr="00125FDC">
        <w:t>out of these 18</w:t>
      </w:r>
      <w:r w:rsidR="00B077E3" w:rsidRPr="00125FDC">
        <w:t xml:space="preserve"> substances </w:t>
      </w:r>
      <w:r w:rsidR="00FF7131" w:rsidRPr="00125FDC">
        <w:t xml:space="preserve">were included in Annex XIV, i.e. </w:t>
      </w:r>
      <w:proofErr w:type="spellStart"/>
      <w:r w:rsidR="00FF7131" w:rsidRPr="00125FDC">
        <w:t>bis</w:t>
      </w:r>
      <w:proofErr w:type="spellEnd"/>
      <w:r w:rsidR="00FF7131" w:rsidRPr="00125FDC">
        <w:t xml:space="preserve">(4-aminophenyl)methane (CAS No: 101-77-9) and </w:t>
      </w:r>
      <w:proofErr w:type="spellStart"/>
      <w:r w:rsidR="00FF7131" w:rsidRPr="00125FDC">
        <w:t>bis</w:t>
      </w:r>
      <w:proofErr w:type="spellEnd"/>
      <w:r w:rsidR="00FF7131" w:rsidRPr="00125FDC">
        <w:t xml:space="preserve">(2-methoxyethyl)ether (CAS No: 111-96-6). The phase-out of </w:t>
      </w:r>
      <w:proofErr w:type="spellStart"/>
      <w:r w:rsidR="00FF7131" w:rsidRPr="00125FDC">
        <w:t>bis</w:t>
      </w:r>
      <w:proofErr w:type="spellEnd"/>
      <w:r w:rsidR="00FF7131" w:rsidRPr="00125FDC">
        <w:t xml:space="preserve">(4-aminophenyl)methane is </w:t>
      </w:r>
      <w:r w:rsidR="005E7DF1" w:rsidRPr="00125FDC">
        <w:t xml:space="preserve">caused by </w:t>
      </w:r>
      <w:r w:rsidR="00FF7131" w:rsidRPr="00125FDC">
        <w:t xml:space="preserve">its carcinogenicity whereas </w:t>
      </w:r>
      <w:proofErr w:type="spellStart"/>
      <w:r w:rsidR="00FF7131" w:rsidRPr="00125FDC">
        <w:t>bis</w:t>
      </w:r>
      <w:proofErr w:type="spellEnd"/>
      <w:r w:rsidR="00FF7131" w:rsidRPr="00125FDC">
        <w:t xml:space="preserve">(2-methoxyethyl)ether has been included in Annex XIV </w:t>
      </w:r>
      <w:r w:rsidR="005E7DF1" w:rsidRPr="00125FDC">
        <w:t>due to</w:t>
      </w:r>
      <w:r w:rsidR="00FF7131" w:rsidRPr="00125FDC">
        <w:t xml:space="preserve"> its toxicity to reproduction. Finally, one substance</w:t>
      </w:r>
      <w:r w:rsidR="005E7DF1" w:rsidRPr="00125FDC">
        <w:t xml:space="preserve"> i.e.</w:t>
      </w:r>
      <w:r w:rsidR="00FF7131" w:rsidRPr="00125FDC">
        <w:t xml:space="preserve"> </w:t>
      </w:r>
      <w:proofErr w:type="spellStart"/>
      <w:r w:rsidR="00FF7131" w:rsidRPr="00125FDC">
        <w:t>diethyleneglycol</w:t>
      </w:r>
      <w:proofErr w:type="spellEnd"/>
      <w:r w:rsidR="00FF7131" w:rsidRPr="00125FDC">
        <w:t xml:space="preserve"> methyl ether (CAS No: 111-77-3</w:t>
      </w:r>
      <w:r w:rsidR="00DF1983" w:rsidRPr="00125FDC">
        <w:t xml:space="preserve">), used as a solvent in printing inks, </w:t>
      </w:r>
      <w:r w:rsidR="00FF7131" w:rsidRPr="00125FDC">
        <w:t>was found in Annex XVII.</w:t>
      </w:r>
      <w:r w:rsidR="00E20182" w:rsidRPr="00125FDC">
        <w:t xml:space="preserve"> Since 27 June 2010, this substance can no longer be placed on the market for supply to the general public, as a constituent of paints, paint strippers, cleaning agents, self-shining emulsions or floor sealants in concentrations equal to or greater than 0</w:t>
      </w:r>
      <w:r w:rsidR="005E7DF1" w:rsidRPr="00125FDC">
        <w:t>.</w:t>
      </w:r>
      <w:r w:rsidR="00E20182" w:rsidRPr="00125FDC">
        <w:t xml:space="preserve">1 % by weight. </w:t>
      </w:r>
    </w:p>
    <w:p w:rsidR="00125FDC" w:rsidRDefault="00125FDC" w:rsidP="00184D58">
      <w:pPr>
        <w:spacing w:after="0" w:line="480" w:lineRule="auto"/>
        <w:jc w:val="both"/>
        <w:rPr>
          <w:b/>
          <w:sz w:val="24"/>
        </w:rPr>
        <w:sectPr w:rsidR="00125FDC" w:rsidSect="00C61D10">
          <w:pgSz w:w="11906" w:h="16838"/>
          <w:pgMar w:top="1440" w:right="1440" w:bottom="1440" w:left="1440" w:header="708" w:footer="708" w:gutter="0"/>
          <w:lnNumType w:countBy="1" w:restart="continuous"/>
          <w:cols w:space="708"/>
          <w:docGrid w:linePitch="360"/>
        </w:sectPr>
      </w:pPr>
    </w:p>
    <w:p w:rsidR="00184D58" w:rsidRPr="00184D58" w:rsidRDefault="003C7CFE" w:rsidP="00184D58">
      <w:pPr>
        <w:spacing w:after="0" w:line="480" w:lineRule="auto"/>
        <w:jc w:val="both"/>
        <w:rPr>
          <w:b/>
          <w:sz w:val="24"/>
        </w:rPr>
      </w:pPr>
      <w:r>
        <w:rPr>
          <w:b/>
          <w:sz w:val="24"/>
        </w:rPr>
        <w:lastRenderedPageBreak/>
        <w:t>4</w:t>
      </w:r>
      <w:r w:rsidR="00887571" w:rsidRPr="00D5713E">
        <w:rPr>
          <w:b/>
          <w:sz w:val="24"/>
        </w:rPr>
        <w:t xml:space="preserve">. </w:t>
      </w:r>
      <w:r w:rsidR="00184D58" w:rsidRPr="00D5713E">
        <w:rPr>
          <w:b/>
          <w:sz w:val="24"/>
        </w:rPr>
        <w:t>Discussion</w:t>
      </w:r>
    </w:p>
    <w:p w:rsidR="00204DCF" w:rsidRDefault="00AC6DFB" w:rsidP="00F250CC">
      <w:pPr>
        <w:spacing w:after="0" w:line="480" w:lineRule="auto"/>
        <w:jc w:val="both"/>
      </w:pPr>
      <w:r>
        <w:t>As a result of</w:t>
      </w:r>
      <w:r w:rsidR="006F11A8">
        <w:t xml:space="preserve"> food contamination issues </w:t>
      </w:r>
      <w:r w:rsidR="00582B08">
        <w:t>due</w:t>
      </w:r>
      <w:r w:rsidR="006F11A8">
        <w:t xml:space="preserve"> </w:t>
      </w:r>
      <w:r w:rsidR="00711214">
        <w:t xml:space="preserve">to </w:t>
      </w:r>
      <w:r w:rsidR="006F11A8">
        <w:t xml:space="preserve">migration of </w:t>
      </w:r>
      <w:r w:rsidR="00400254">
        <w:t xml:space="preserve">non-evaluated </w:t>
      </w:r>
      <w:r w:rsidR="00991862">
        <w:t xml:space="preserve">substances from </w:t>
      </w:r>
      <w:r w:rsidR="00887571">
        <w:t>non-plastic FCM</w:t>
      </w:r>
      <w:r w:rsidR="006F11A8">
        <w:t xml:space="preserve">, several initiatives have emerged in order to prevent </w:t>
      </w:r>
      <w:r w:rsidR="006F11A8" w:rsidRPr="00742BF1">
        <w:t>similar</w:t>
      </w:r>
      <w:r w:rsidR="00392578">
        <w:t xml:space="preserve"> food crises</w:t>
      </w:r>
      <w:r w:rsidR="00EC4689">
        <w:t xml:space="preserve"> in the future</w:t>
      </w:r>
      <w:r w:rsidR="00E06283">
        <w:t>.</w:t>
      </w:r>
      <w:r w:rsidR="00A50BEF">
        <w:t xml:space="preserve"> </w:t>
      </w:r>
      <w:r w:rsidR="00E06283">
        <w:t>Most of these</w:t>
      </w:r>
      <w:r>
        <w:t>,</w:t>
      </w:r>
      <w:r w:rsidR="00E06283">
        <w:t xml:space="preserve"> </w:t>
      </w:r>
      <w:r w:rsidR="00F250CC">
        <w:t>however</w:t>
      </w:r>
      <w:r w:rsidR="00E06283">
        <w:t>,</w:t>
      </w:r>
      <w:r w:rsidR="00742BF1">
        <w:t xml:space="preserve"> </w:t>
      </w:r>
      <w:r>
        <w:t xml:space="preserve">are </w:t>
      </w:r>
      <w:r w:rsidR="00392578">
        <w:t>hampered</w:t>
      </w:r>
      <w:r w:rsidR="00742BF1">
        <w:t xml:space="preserve"> by the lack of s</w:t>
      </w:r>
      <w:r w:rsidR="00F250CC">
        <w:t xml:space="preserve">pecific harmonised </w:t>
      </w:r>
      <w:r w:rsidR="005600E2">
        <w:t xml:space="preserve">EU </w:t>
      </w:r>
      <w:r w:rsidR="00F250CC">
        <w:t xml:space="preserve">regulations </w:t>
      </w:r>
      <w:r w:rsidR="00742BF1">
        <w:t>for non-plastic FCM.</w:t>
      </w:r>
      <w:r w:rsidR="00933486">
        <w:t xml:space="preserve"> Nevertheless, valuable information is already available in </w:t>
      </w:r>
      <w:r>
        <w:t>a number of</w:t>
      </w:r>
      <w:r w:rsidR="00933486">
        <w:t xml:space="preserve"> documents</w:t>
      </w:r>
      <w:r>
        <w:t>,</w:t>
      </w:r>
      <w:r w:rsidR="00933486">
        <w:t xml:space="preserve"> including the </w:t>
      </w:r>
      <w:r w:rsidR="00742BF1">
        <w:t>ESC</w:t>
      </w:r>
      <w:r w:rsidR="00C5094E">
        <w:t>O WG report on non-plastic FCM</w:t>
      </w:r>
      <w:r w:rsidR="00933486">
        <w:t>,</w:t>
      </w:r>
      <w:r w:rsidR="00C5094E">
        <w:t xml:space="preserve"> </w:t>
      </w:r>
      <w:r w:rsidR="00742BF1">
        <w:t xml:space="preserve">the policy statements assembled by the Council of Europe on a variety of FCM </w:t>
      </w:r>
      <w:r w:rsidR="00933486">
        <w:t>and</w:t>
      </w:r>
      <w:r w:rsidR="00742BF1">
        <w:t xml:space="preserve"> the </w:t>
      </w:r>
      <w:r w:rsidR="005C127B">
        <w:t>Swiss Ordinance on materials and articles in contact</w:t>
      </w:r>
      <w:r w:rsidR="00310587">
        <w:t xml:space="preserve"> with food</w:t>
      </w:r>
      <w:r w:rsidR="00742BF1">
        <w:t xml:space="preserve">. Furthermore, the Union </w:t>
      </w:r>
      <w:r w:rsidR="005C127B">
        <w:t>l</w:t>
      </w:r>
      <w:r w:rsidR="00742BF1">
        <w:t>ist of authorised substances in plastic FCM</w:t>
      </w:r>
      <w:r w:rsidR="00481042">
        <w:t xml:space="preserve"> is also an important information source for non-plastic FCM</w:t>
      </w:r>
      <w:r w:rsidR="00742BF1">
        <w:t xml:space="preserve">. </w:t>
      </w:r>
      <w:r w:rsidR="005C127B">
        <w:t>In the current study, the</w:t>
      </w:r>
      <w:r w:rsidR="00481042">
        <w:t xml:space="preserve">se four </w:t>
      </w:r>
      <w:r w:rsidR="00617D83">
        <w:t>list</w:t>
      </w:r>
      <w:r w:rsidR="00481042">
        <w:t>s</w:t>
      </w:r>
      <w:r w:rsidR="00617D83">
        <w:t xml:space="preserve"> were combined into one inventory in order to</w:t>
      </w:r>
      <w:r w:rsidR="005C127B">
        <w:t xml:space="preserve"> investigate the </w:t>
      </w:r>
      <w:r w:rsidR="00EC4689">
        <w:t xml:space="preserve">extent to which </w:t>
      </w:r>
      <w:r w:rsidR="00204DCF">
        <w:t>printed paper and board FCM</w:t>
      </w:r>
      <w:r w:rsidR="00481042">
        <w:t xml:space="preserve"> </w:t>
      </w:r>
      <w:r w:rsidR="00EC4689">
        <w:t xml:space="preserve">might contribute to </w:t>
      </w:r>
      <w:r w:rsidR="00481042">
        <w:t>food contamination</w:t>
      </w:r>
      <w:r w:rsidR="00F153F7">
        <w:t xml:space="preserve"> issues</w:t>
      </w:r>
      <w:r w:rsidR="00204DCF">
        <w:t xml:space="preserve">. </w:t>
      </w:r>
      <w:r w:rsidR="002E6EA4">
        <w:t>A</w:t>
      </w:r>
      <w:r w:rsidR="00D276FD">
        <w:t xml:space="preserve">lthough there was an overlap between </w:t>
      </w:r>
      <w:r w:rsidR="002E6EA4">
        <w:t xml:space="preserve">the </w:t>
      </w:r>
      <w:r w:rsidR="00D276FD">
        <w:t xml:space="preserve">different </w:t>
      </w:r>
      <w:r w:rsidR="002E6EA4">
        <w:t>lists for printing inks and/or paper and board</w:t>
      </w:r>
      <w:r w:rsidR="006D2004">
        <w:t xml:space="preserve">, </w:t>
      </w:r>
      <w:r w:rsidR="00503ABE">
        <w:t>more than 6000</w:t>
      </w:r>
      <w:r w:rsidR="006D2004">
        <w:t xml:space="preserve"> unique substances</w:t>
      </w:r>
      <w:r w:rsidR="00503ABE">
        <w:t xml:space="preserve"> that</w:t>
      </w:r>
      <w:r w:rsidR="00AE794D">
        <w:t xml:space="preserve"> can</w:t>
      </w:r>
      <w:r w:rsidR="006D2004">
        <w:t xml:space="preserve"> be used in the manufacture of printed paper and board FCM</w:t>
      </w:r>
      <w:r w:rsidR="00503ABE">
        <w:t xml:space="preserve"> were identified</w:t>
      </w:r>
      <w:r w:rsidR="006D2004">
        <w:t xml:space="preserve">. </w:t>
      </w:r>
    </w:p>
    <w:p w:rsidR="004A6243" w:rsidRDefault="00503ABE" w:rsidP="00617D83">
      <w:pPr>
        <w:spacing w:after="0" w:line="480" w:lineRule="auto"/>
        <w:jc w:val="both"/>
      </w:pPr>
      <w:r>
        <w:t>T</w:t>
      </w:r>
      <w:r w:rsidR="002F6AE4">
        <w:t>he</w:t>
      </w:r>
      <w:r w:rsidR="00617D83">
        <w:t xml:space="preserve"> combined inventory provides</w:t>
      </w:r>
      <w:r w:rsidR="00204DCF">
        <w:t xml:space="preserve"> a </w:t>
      </w:r>
      <w:r w:rsidR="002F6AE4">
        <w:t xml:space="preserve">comprehensive </w:t>
      </w:r>
      <w:r w:rsidR="00617D83">
        <w:t>overview</w:t>
      </w:r>
      <w:r w:rsidR="00204DCF">
        <w:t xml:space="preserve"> of </w:t>
      </w:r>
      <w:r>
        <w:t xml:space="preserve">all these </w:t>
      </w:r>
      <w:r w:rsidR="00204DCF">
        <w:t>substances</w:t>
      </w:r>
      <w:r>
        <w:t>, together w</w:t>
      </w:r>
      <w:r w:rsidR="009459EB">
        <w:t>ith information on their identit</w:t>
      </w:r>
      <w:r>
        <w:t xml:space="preserve">y, </w:t>
      </w:r>
      <w:r w:rsidR="0067736B">
        <w:t>physicochemical properties, type of use and</w:t>
      </w:r>
      <w:r>
        <w:t xml:space="preserve"> evaluation status. </w:t>
      </w:r>
      <w:r w:rsidR="002F6AE4">
        <w:t>Most of the substances</w:t>
      </w:r>
      <w:r w:rsidR="00A52FFD">
        <w:t xml:space="preserve"> included</w:t>
      </w:r>
      <w:r w:rsidR="002F6AE4">
        <w:t xml:space="preserve"> in the combined inventory are </w:t>
      </w:r>
      <w:r w:rsidR="004A6243">
        <w:t>single substances</w:t>
      </w:r>
      <w:r w:rsidR="00FA5942">
        <w:t>, which</w:t>
      </w:r>
      <w:r w:rsidR="00702973">
        <w:t xml:space="preserve"> was to be expected as the</w:t>
      </w:r>
      <w:r w:rsidR="00575D79">
        <w:t xml:space="preserve"> </w:t>
      </w:r>
      <w:r w:rsidR="00FA5942">
        <w:t>inventories were</w:t>
      </w:r>
      <w:r w:rsidR="00575D79">
        <w:t xml:space="preserve"> mainly built</w:t>
      </w:r>
      <w:r w:rsidR="00702973">
        <w:t xml:space="preserve"> from </w:t>
      </w:r>
      <w:r w:rsidR="00C87D1C">
        <w:t xml:space="preserve">the </w:t>
      </w:r>
      <w:r w:rsidR="00702973">
        <w:t xml:space="preserve">starting substances used in the manufacture of printed paper and board (and </w:t>
      </w:r>
      <w:r w:rsidR="00C87D1C">
        <w:t>plastic</w:t>
      </w:r>
      <w:r w:rsidR="00702973">
        <w:t xml:space="preserve">) FCM. </w:t>
      </w:r>
      <w:r w:rsidR="00E210AB">
        <w:t>However,</w:t>
      </w:r>
      <w:r w:rsidR="000875CF">
        <w:t xml:space="preserve"> a</w:t>
      </w:r>
      <w:r w:rsidR="00C87D1C">
        <w:t>lso a</w:t>
      </w:r>
      <w:r w:rsidR="000875CF">
        <w:t xml:space="preserve"> surprisingly </w:t>
      </w:r>
      <w:r w:rsidR="001041A5">
        <w:t>high</w:t>
      </w:r>
      <w:r w:rsidR="000875CF">
        <w:t xml:space="preserve"> number of </w:t>
      </w:r>
      <w:r w:rsidR="001041A5">
        <w:t>118</w:t>
      </w:r>
      <w:r w:rsidR="0028062F">
        <w:t>9</w:t>
      </w:r>
      <w:r w:rsidR="001041A5">
        <w:t xml:space="preserve"> </w:t>
      </w:r>
      <w:r w:rsidR="000875CF">
        <w:t xml:space="preserve">polymers </w:t>
      </w:r>
      <w:r w:rsidR="00C87D1C">
        <w:t>is</w:t>
      </w:r>
      <w:r w:rsidR="00E210AB">
        <w:t xml:space="preserve"> </w:t>
      </w:r>
      <w:r w:rsidR="00C87D1C">
        <w:t>mentione</w:t>
      </w:r>
      <w:r w:rsidR="000875CF">
        <w:t>d</w:t>
      </w:r>
      <w:r w:rsidR="000C4EA8">
        <w:t>, of which the majority</w:t>
      </w:r>
      <w:r w:rsidR="00E210AB">
        <w:t xml:space="preserve"> (828) </w:t>
      </w:r>
      <w:r w:rsidR="000C4EA8">
        <w:t>is</w:t>
      </w:r>
      <w:r w:rsidR="00E210AB">
        <w:t xml:space="preserve"> listed for use as additives in printing ink substances. </w:t>
      </w:r>
      <w:r w:rsidR="006E213E">
        <w:t xml:space="preserve">The </w:t>
      </w:r>
      <w:r w:rsidR="00BC4CD6">
        <w:t>‘</w:t>
      </w:r>
      <w:r w:rsidR="006E213E">
        <w:t>other</w:t>
      </w:r>
      <w:r w:rsidR="00E210AB">
        <w:t xml:space="preserve"> substance</w:t>
      </w:r>
      <w:r w:rsidR="00BC4CD6">
        <w:t>s’ group</w:t>
      </w:r>
      <w:r w:rsidR="00E210AB">
        <w:t xml:space="preserve"> </w:t>
      </w:r>
      <w:r w:rsidR="00BC4CD6">
        <w:t>is least represented</w:t>
      </w:r>
      <w:r w:rsidR="00FC45A8">
        <w:t xml:space="preserve">, reflecting either </w:t>
      </w:r>
      <w:r w:rsidR="00F110AF">
        <w:t>limited application or l</w:t>
      </w:r>
      <w:r w:rsidR="00FC45A8">
        <w:t>acking</w:t>
      </w:r>
      <w:r w:rsidR="00F110AF">
        <w:t xml:space="preserve"> knowledge about the</w:t>
      </w:r>
      <w:r w:rsidR="00FC45A8">
        <w:t>ir</w:t>
      </w:r>
      <w:r w:rsidR="00F110AF">
        <w:t xml:space="preserve"> presence. </w:t>
      </w:r>
      <w:r w:rsidR="004A6243">
        <w:t xml:space="preserve"> </w:t>
      </w:r>
    </w:p>
    <w:p w:rsidR="00BF2703" w:rsidRDefault="0084458A" w:rsidP="00617D83">
      <w:pPr>
        <w:spacing w:after="0" w:line="480" w:lineRule="auto"/>
        <w:jc w:val="both"/>
      </w:pPr>
      <w:r>
        <w:t xml:space="preserve">The majority </w:t>
      </w:r>
      <w:r w:rsidR="00EC4689">
        <w:t xml:space="preserve">of the substances </w:t>
      </w:r>
      <w:r>
        <w:t>present</w:t>
      </w:r>
      <w:r w:rsidR="00EC4689">
        <w:t xml:space="preserve"> in </w:t>
      </w:r>
      <w:r w:rsidR="00881FC9">
        <w:t>the combined inventory</w:t>
      </w:r>
      <w:r w:rsidR="00617D83">
        <w:t xml:space="preserve"> </w:t>
      </w:r>
      <w:r w:rsidR="00EC4689">
        <w:t xml:space="preserve">are intended to be </w:t>
      </w:r>
      <w:r w:rsidR="00F14D9F">
        <w:t>used in printing inks</w:t>
      </w:r>
      <w:r w:rsidR="00BA2B33">
        <w:t>, which</w:t>
      </w:r>
      <w:r w:rsidR="00E715B8">
        <w:t xml:space="preserve"> </w:t>
      </w:r>
      <w:r w:rsidR="00536D85">
        <w:t>represent</w:t>
      </w:r>
      <w:r w:rsidR="00BA2B33">
        <w:t>s</w:t>
      </w:r>
      <w:r w:rsidR="00536D85">
        <w:t xml:space="preserve"> a</w:t>
      </w:r>
      <w:r w:rsidR="00E715B8">
        <w:t xml:space="preserve"> high</w:t>
      </w:r>
      <w:r w:rsidR="009A5385">
        <w:t>er</w:t>
      </w:r>
      <w:r w:rsidR="00E715B8">
        <w:t xml:space="preserve"> concern</w:t>
      </w:r>
      <w:r w:rsidR="00536D85">
        <w:t xml:space="preserve"> compared to the rather ‘natural’ constituents of paper and board</w:t>
      </w:r>
      <w:r w:rsidR="00E715B8">
        <w:t xml:space="preserve">. Since 2005, more than 100 cases </w:t>
      </w:r>
      <w:r w:rsidR="007D5AC4" w:rsidRPr="007D5AC4">
        <w:t xml:space="preserve">on the presence of </w:t>
      </w:r>
      <w:proofErr w:type="spellStart"/>
      <w:r w:rsidR="007D5AC4" w:rsidRPr="007D5AC4">
        <w:t>photoinitiators</w:t>
      </w:r>
      <w:proofErr w:type="spellEnd"/>
      <w:r w:rsidR="007D5AC4" w:rsidRPr="007D5AC4">
        <w:t xml:space="preserve"> in food </w:t>
      </w:r>
      <w:r w:rsidR="00E715B8">
        <w:t>have bee</w:t>
      </w:r>
      <w:r w:rsidR="00881FC9">
        <w:t xml:space="preserve">n reported via the RASFF </w:t>
      </w:r>
      <w:r w:rsidR="00881FC9" w:rsidRPr="00FA1E7C">
        <w:t xml:space="preserve">tool </w:t>
      </w:r>
      <w:r w:rsidR="009A5385" w:rsidRPr="00FA1E7C">
        <w:t>(</w:t>
      </w:r>
      <w:proofErr w:type="spellStart"/>
      <w:r w:rsidR="00CD7EC1" w:rsidRPr="00FA1E7C">
        <w:t>Lago</w:t>
      </w:r>
      <w:proofErr w:type="spellEnd"/>
      <w:r w:rsidR="00CD7EC1" w:rsidRPr="00FA1E7C">
        <w:t xml:space="preserve"> et al., 2015</w:t>
      </w:r>
      <w:r w:rsidR="00CD7EC1" w:rsidRPr="003B3839">
        <w:t xml:space="preserve">; </w:t>
      </w:r>
      <w:r w:rsidR="00FA1E7C" w:rsidRPr="003B3839">
        <w:t>European Commission, 2016</w:t>
      </w:r>
      <w:r w:rsidR="003B5AA2" w:rsidRPr="003B3839">
        <w:t>). This</w:t>
      </w:r>
      <w:r w:rsidR="003B5AA2">
        <w:t xml:space="preserve"> number is high,</w:t>
      </w:r>
      <w:r w:rsidR="009A5385">
        <w:t xml:space="preserve"> </w:t>
      </w:r>
      <w:r w:rsidR="00F751D6">
        <w:t>taking into account that</w:t>
      </w:r>
      <w:r w:rsidR="009A5385">
        <w:t xml:space="preserve"> </w:t>
      </w:r>
      <w:proofErr w:type="spellStart"/>
      <w:r w:rsidR="00F751D6">
        <w:t>photoinitiators</w:t>
      </w:r>
      <w:proofErr w:type="spellEnd"/>
      <w:r w:rsidR="009A5385">
        <w:t xml:space="preserve"> represent only one type of compounds frequently used </w:t>
      </w:r>
      <w:r w:rsidR="009A5385">
        <w:lastRenderedPageBreak/>
        <w:t xml:space="preserve">in printing inks. </w:t>
      </w:r>
      <w:r w:rsidR="00A018D4">
        <w:t xml:space="preserve">Furthermore, </w:t>
      </w:r>
      <w:r w:rsidR="003B5AA2">
        <w:t xml:space="preserve">for </w:t>
      </w:r>
      <w:r w:rsidR="00A018D4">
        <w:t>s</w:t>
      </w:r>
      <w:r w:rsidR="009A5385">
        <w:t xml:space="preserve">ome </w:t>
      </w:r>
      <w:proofErr w:type="spellStart"/>
      <w:r w:rsidR="009A5385">
        <w:t>photoinitiators</w:t>
      </w:r>
      <w:proofErr w:type="spellEnd"/>
      <w:r w:rsidR="009A5385">
        <w:t xml:space="preserve"> </w:t>
      </w:r>
      <w:r w:rsidR="00745BB5">
        <w:t xml:space="preserve">the available chemical </w:t>
      </w:r>
      <w:r w:rsidR="003B5AA2">
        <w:t>information</w:t>
      </w:r>
      <w:r w:rsidR="00745BB5">
        <w:t xml:space="preserve"> suggests</w:t>
      </w:r>
      <w:r w:rsidR="00941EBC">
        <w:t xml:space="preserve"> that</w:t>
      </w:r>
      <w:r w:rsidR="00745BB5">
        <w:t xml:space="preserve"> they are </w:t>
      </w:r>
      <w:r w:rsidR="009A5385">
        <w:t>unsuitable</w:t>
      </w:r>
      <w:r w:rsidR="00745BB5">
        <w:t xml:space="preserve"> </w:t>
      </w:r>
      <w:r w:rsidR="003B5AA2">
        <w:t>for</w:t>
      </w:r>
      <w:r w:rsidR="00745BB5">
        <w:t xml:space="preserve"> FCM</w:t>
      </w:r>
      <w:r w:rsidR="0080005D">
        <w:t xml:space="preserve"> </w:t>
      </w:r>
      <w:r w:rsidR="003B5AA2">
        <w:t xml:space="preserve">use </w:t>
      </w:r>
      <w:r w:rsidR="0080005D">
        <w:t>(</w:t>
      </w:r>
      <w:proofErr w:type="spellStart"/>
      <w:r w:rsidR="00CD7EC1">
        <w:t>Lago</w:t>
      </w:r>
      <w:proofErr w:type="spellEnd"/>
      <w:r w:rsidR="00CD7EC1">
        <w:t xml:space="preserve"> et al., 2015</w:t>
      </w:r>
      <w:r w:rsidR="0080005D">
        <w:t>)</w:t>
      </w:r>
      <w:r w:rsidR="000A4B6E">
        <w:t xml:space="preserve">. </w:t>
      </w:r>
      <w:r w:rsidR="00C64A3C">
        <w:t>2,2-</w:t>
      </w:r>
      <w:r w:rsidR="00162865">
        <w:t>D</w:t>
      </w:r>
      <w:r w:rsidR="00C64A3C">
        <w:t>imethoxy-2-phenylacetophenone</w:t>
      </w:r>
      <w:r w:rsidR="00162865">
        <w:t xml:space="preserve"> is such an example</w:t>
      </w:r>
      <w:r>
        <w:t>.</w:t>
      </w:r>
      <w:r w:rsidR="000A4B6E">
        <w:t xml:space="preserve"> </w:t>
      </w:r>
      <w:r>
        <w:t>The compound</w:t>
      </w:r>
      <w:r w:rsidR="000A4B6E">
        <w:t xml:space="preserve"> </w:t>
      </w:r>
      <w:r w:rsidR="00745BB5">
        <w:t>appears</w:t>
      </w:r>
      <w:r w:rsidR="00C64A3C">
        <w:t xml:space="preserve"> in</w:t>
      </w:r>
      <w:r w:rsidR="00745BB5">
        <w:t xml:space="preserve"> part B of the Swiss list, where it is mentioned in both the additive and </w:t>
      </w:r>
      <w:proofErr w:type="spellStart"/>
      <w:r w:rsidR="00745BB5">
        <w:t>photoinitiator</w:t>
      </w:r>
      <w:proofErr w:type="spellEnd"/>
      <w:r w:rsidR="00745BB5">
        <w:t xml:space="preserve"> </w:t>
      </w:r>
      <w:proofErr w:type="spellStart"/>
      <w:r w:rsidR="00745BB5">
        <w:t>sublists</w:t>
      </w:r>
      <w:proofErr w:type="spellEnd"/>
      <w:r w:rsidR="00745BB5">
        <w:t>.</w:t>
      </w:r>
      <w:r w:rsidR="00941EBC">
        <w:t xml:space="preserve"> </w:t>
      </w:r>
      <w:r w:rsidR="00E82DBD" w:rsidRPr="007E4D50">
        <w:t>Although 2,2-dimethoxy-2-phenylacetone</w:t>
      </w:r>
      <w:r w:rsidR="0046337D" w:rsidRPr="007E4D50">
        <w:t xml:space="preserve"> </w:t>
      </w:r>
      <w:r w:rsidR="009D4A9E" w:rsidRPr="007E4D50">
        <w:t xml:space="preserve">generates </w:t>
      </w:r>
      <w:r w:rsidR="00840BFA" w:rsidRPr="007E4D50">
        <w:t>by-products</w:t>
      </w:r>
      <w:r w:rsidR="009D4A9E" w:rsidRPr="007E4D50">
        <w:t xml:space="preserve"> like methyl benzoate</w:t>
      </w:r>
      <w:r w:rsidR="00840BFA" w:rsidRPr="007E4D50">
        <w:t>,</w:t>
      </w:r>
      <w:r w:rsidR="009D4A9E" w:rsidRPr="007E4D50">
        <w:t xml:space="preserve"> which </w:t>
      </w:r>
      <w:r w:rsidR="00B940BE" w:rsidRPr="007E4D50">
        <w:t>is</w:t>
      </w:r>
      <w:r w:rsidR="009D4A9E" w:rsidRPr="007E4D50">
        <w:t xml:space="preserve"> unsuitable for food packaging application</w:t>
      </w:r>
      <w:r w:rsidR="00B940BE" w:rsidRPr="007E4D50">
        <w:t xml:space="preserve"> because of its</w:t>
      </w:r>
      <w:r w:rsidR="00B47F88" w:rsidRPr="007E4D50">
        <w:t xml:space="preserve"> significant odour</w:t>
      </w:r>
      <w:r w:rsidR="005E6954" w:rsidRPr="007E4D50">
        <w:t xml:space="preserve"> (</w:t>
      </w:r>
      <w:proofErr w:type="spellStart"/>
      <w:r w:rsidR="005E6954" w:rsidRPr="007E4D50">
        <w:t>Lago</w:t>
      </w:r>
      <w:proofErr w:type="spellEnd"/>
      <w:r w:rsidR="005E6954" w:rsidRPr="007E4D50">
        <w:t xml:space="preserve"> et al., 2015)</w:t>
      </w:r>
      <w:r w:rsidR="00E82DBD" w:rsidRPr="007E4D50">
        <w:t>, the compound is still used by the print</w:t>
      </w:r>
      <w:r w:rsidR="005E6954" w:rsidRPr="007E4D50">
        <w:t>ing ink industry (</w:t>
      </w:r>
      <w:proofErr w:type="spellStart"/>
      <w:r w:rsidR="005E6954" w:rsidRPr="007E4D50">
        <w:t>EuPIA</w:t>
      </w:r>
      <w:proofErr w:type="spellEnd"/>
      <w:r w:rsidR="005E6954" w:rsidRPr="007E4D50">
        <w:t>, 2013)</w:t>
      </w:r>
      <w:r w:rsidR="009D4A9E" w:rsidRPr="007E4D50">
        <w:t>.</w:t>
      </w:r>
      <w:r w:rsidR="008A352C">
        <w:t xml:space="preserve"> </w:t>
      </w:r>
    </w:p>
    <w:p w:rsidR="003B26BB" w:rsidRDefault="00497292" w:rsidP="00617D83">
      <w:pPr>
        <w:spacing w:after="0" w:line="480" w:lineRule="auto"/>
        <w:jc w:val="both"/>
      </w:pPr>
      <w:r>
        <w:t xml:space="preserve">For most of the substances included in the combined inventory, no (recent) </w:t>
      </w:r>
      <w:r w:rsidR="00840BFA">
        <w:t xml:space="preserve">safety </w:t>
      </w:r>
      <w:r>
        <w:t>evaluation has been performed</w:t>
      </w:r>
      <w:r w:rsidR="00503ABE">
        <w:t>.</w:t>
      </w:r>
      <w:r w:rsidR="004C5F19">
        <w:t xml:space="preserve"> </w:t>
      </w:r>
      <w:r w:rsidR="00AD0431">
        <w:t xml:space="preserve">In reality, the fraction of non-evaluated compounds </w:t>
      </w:r>
      <w:r w:rsidR="00AE794D">
        <w:t>present</w:t>
      </w:r>
      <w:r w:rsidR="00503ABE">
        <w:t xml:space="preserve"> </w:t>
      </w:r>
      <w:r w:rsidR="00AE794D">
        <w:t>in</w:t>
      </w:r>
      <w:r w:rsidR="00503ABE">
        <w:t xml:space="preserve"> printed paper and board FCM </w:t>
      </w:r>
      <w:r w:rsidR="00AD0431">
        <w:t>is probably even higher, since</w:t>
      </w:r>
      <w:r w:rsidR="00C60DAE">
        <w:t xml:space="preserve"> the</w:t>
      </w:r>
      <w:r w:rsidR="00821649">
        <w:t xml:space="preserve"> inventory</w:t>
      </w:r>
      <w:r w:rsidR="00C60DAE">
        <w:t xml:space="preserve"> </w:t>
      </w:r>
      <w:r w:rsidR="00AD0431">
        <w:t>list</w:t>
      </w:r>
      <w:r w:rsidR="00C60DAE">
        <w:t xml:space="preserve">s </w:t>
      </w:r>
      <w:r w:rsidR="00821649">
        <w:t>mainly</w:t>
      </w:r>
      <w:r w:rsidR="00C60DAE">
        <w:t xml:space="preserve"> </w:t>
      </w:r>
      <w:r w:rsidR="003324F5">
        <w:t>consist of</w:t>
      </w:r>
      <w:r w:rsidR="00C60DAE">
        <w:t xml:space="preserve"> starting substances</w:t>
      </w:r>
      <w:r w:rsidR="003324F5">
        <w:t>. N</w:t>
      </w:r>
      <w:r w:rsidR="00C60DAE" w:rsidRPr="00AA6DF8">
        <w:t>on-intentionally added substances (NIAS) such as reaction products</w:t>
      </w:r>
      <w:r w:rsidR="00EC008E">
        <w:t>, intermediates</w:t>
      </w:r>
      <w:r w:rsidR="00C60DAE" w:rsidRPr="00AA6DF8">
        <w:t xml:space="preserve"> and impurities should </w:t>
      </w:r>
      <w:r w:rsidR="00B940BE">
        <w:t>also</w:t>
      </w:r>
      <w:r w:rsidR="003324F5">
        <w:t xml:space="preserve"> </w:t>
      </w:r>
      <w:r w:rsidR="00C60DAE" w:rsidRPr="00AA6DF8">
        <w:t xml:space="preserve">be </w:t>
      </w:r>
      <w:r w:rsidR="00CD1FDD">
        <w:t>considered</w:t>
      </w:r>
      <w:r w:rsidR="00F64691">
        <w:t>,</w:t>
      </w:r>
      <w:r w:rsidR="00C60DAE" w:rsidRPr="00AA6DF8">
        <w:t xml:space="preserve"> since</w:t>
      </w:r>
      <w:r w:rsidR="00B940BE">
        <w:t xml:space="preserve"> </w:t>
      </w:r>
      <w:r w:rsidR="00C60DAE" w:rsidRPr="00AA6DF8">
        <w:t xml:space="preserve">they have shown to be responsible for health risks </w:t>
      </w:r>
      <w:r w:rsidR="00B940BE">
        <w:t>in several cases</w:t>
      </w:r>
      <w:r w:rsidR="00B940BE" w:rsidRPr="00AA6DF8">
        <w:t xml:space="preserve"> </w:t>
      </w:r>
      <w:r w:rsidR="00C60DAE" w:rsidRPr="00AA6DF8">
        <w:t>(</w:t>
      </w:r>
      <w:proofErr w:type="spellStart"/>
      <w:r w:rsidR="00D93F17">
        <w:t>Nerin</w:t>
      </w:r>
      <w:proofErr w:type="spellEnd"/>
      <w:r w:rsidR="00D93F17">
        <w:t xml:space="preserve"> et al., 2013</w:t>
      </w:r>
      <w:r w:rsidR="00C60DAE" w:rsidRPr="00AA6DF8">
        <w:t>).</w:t>
      </w:r>
      <w:r w:rsidR="00C60DAE">
        <w:t xml:space="preserve"> </w:t>
      </w:r>
    </w:p>
    <w:p w:rsidR="002B743C" w:rsidRDefault="009F11F0" w:rsidP="00617D83">
      <w:pPr>
        <w:spacing w:after="0" w:line="480" w:lineRule="auto"/>
        <w:jc w:val="both"/>
      </w:pPr>
      <w:r w:rsidRPr="00381D60">
        <w:t>N</w:t>
      </w:r>
      <w:r w:rsidR="00E47039" w:rsidRPr="00381D60">
        <w:t xml:space="preserve">on-evaluated substances </w:t>
      </w:r>
      <w:r w:rsidRPr="00381D60">
        <w:t xml:space="preserve">will only be of concern for human health in case they migrate </w:t>
      </w:r>
      <w:r w:rsidR="00E47039" w:rsidRPr="00381D60">
        <w:t>into the food</w:t>
      </w:r>
      <w:r w:rsidRPr="00381D60">
        <w:t xml:space="preserve">. </w:t>
      </w:r>
      <w:r w:rsidR="004C5092" w:rsidRPr="00381D60">
        <w:t>Consequently</w:t>
      </w:r>
      <w:r w:rsidR="003B26BB" w:rsidRPr="00381D60">
        <w:t>, it is important to examine</w:t>
      </w:r>
      <w:r w:rsidR="004C5092" w:rsidRPr="00381D60">
        <w:t xml:space="preserve"> the</w:t>
      </w:r>
      <w:r w:rsidR="00B940BE" w:rsidRPr="00381D60">
        <w:t>ir</w:t>
      </w:r>
      <w:r w:rsidR="004C5092" w:rsidRPr="00381D60">
        <w:t xml:space="preserve"> migration potential</w:t>
      </w:r>
      <w:r w:rsidR="009A38BA" w:rsidRPr="00381D60">
        <w:t xml:space="preserve">. </w:t>
      </w:r>
      <w:r w:rsidR="00BC0546" w:rsidRPr="007E4D50">
        <w:t xml:space="preserve">Besides experimental </w:t>
      </w:r>
      <w:r w:rsidR="00894093" w:rsidRPr="007E4D50">
        <w:t>testing</w:t>
      </w:r>
      <w:r w:rsidR="00BC0546" w:rsidRPr="007E4D50">
        <w:t xml:space="preserve">, migration can be estimated using </w:t>
      </w:r>
      <w:r w:rsidR="009A38BA" w:rsidRPr="007E4D50">
        <w:t xml:space="preserve">computer-based models. </w:t>
      </w:r>
      <w:r w:rsidR="00F7601C" w:rsidRPr="007E4D50">
        <w:t xml:space="preserve">The FACET tool for example, includes a module to predict exposure to substances migrating from food packaging. </w:t>
      </w:r>
      <w:r w:rsidR="00C0626B" w:rsidRPr="007E4D50">
        <w:t>However, modelling requires knowledge on many material-specific characteristics like number of layers in the packaging</w:t>
      </w:r>
      <w:r w:rsidR="00F7601C" w:rsidRPr="007E4D50">
        <w:t xml:space="preserve"> material</w:t>
      </w:r>
      <w:r w:rsidR="00C0626B" w:rsidRPr="007E4D50">
        <w:t>, thic</w:t>
      </w:r>
      <w:r w:rsidR="00F7601C" w:rsidRPr="007E4D50">
        <w:t>kness and density of each layer and the</w:t>
      </w:r>
      <w:r w:rsidR="00C0626B" w:rsidRPr="007E4D50">
        <w:t xml:space="preserve"> area of contact </w:t>
      </w:r>
      <w:r w:rsidR="00F7601C" w:rsidRPr="007E4D50">
        <w:t>between each layer and the food</w:t>
      </w:r>
      <w:r w:rsidR="00C0626B" w:rsidRPr="007E4D50">
        <w:t>. Furthermore, migration of substances between packaging materials and foo</w:t>
      </w:r>
      <w:r w:rsidR="00F7601C" w:rsidRPr="007E4D50">
        <w:t>d can only be modelled when the</w:t>
      </w:r>
      <w:r w:rsidR="006A36D2" w:rsidRPr="007E4D50">
        <w:t xml:space="preserve"> diffusion coefficient</w:t>
      </w:r>
      <w:r w:rsidR="00F7601C" w:rsidRPr="007E4D50">
        <w:t xml:space="preserve"> </w:t>
      </w:r>
      <w:r w:rsidR="00C0626B" w:rsidRPr="007E4D50">
        <w:t>and partition coefficient</w:t>
      </w:r>
      <w:r w:rsidR="00F7601C" w:rsidRPr="007E4D50">
        <w:t xml:space="preserve"> are known</w:t>
      </w:r>
      <w:r w:rsidR="00C0626B" w:rsidRPr="007E4D50">
        <w:t xml:space="preserve">. </w:t>
      </w:r>
      <w:r w:rsidR="00F7601C" w:rsidRPr="007E4D50">
        <w:t xml:space="preserve">Identification of </w:t>
      </w:r>
      <w:r w:rsidR="00C0626B" w:rsidRPr="007E4D50">
        <w:t xml:space="preserve">these parameters for all non-evaluated substances </w:t>
      </w:r>
      <w:r w:rsidR="00F7601C" w:rsidRPr="007E4D50">
        <w:t xml:space="preserve">that can be </w:t>
      </w:r>
      <w:r w:rsidR="00C0626B" w:rsidRPr="007E4D50">
        <w:t xml:space="preserve">used in a broad range of </w:t>
      </w:r>
      <w:r w:rsidR="00F7601C" w:rsidRPr="007E4D50">
        <w:t xml:space="preserve">printed </w:t>
      </w:r>
      <w:r w:rsidR="00C0626B" w:rsidRPr="007E4D50">
        <w:t>paper and board FCM</w:t>
      </w:r>
      <w:r w:rsidR="00F7601C" w:rsidRPr="007E4D50">
        <w:t xml:space="preserve"> is impossible</w:t>
      </w:r>
      <w:r w:rsidR="00C0626B" w:rsidRPr="007E4D50">
        <w:t xml:space="preserve">. </w:t>
      </w:r>
      <w:r w:rsidR="007E4D50">
        <w:t>Determination of the</w:t>
      </w:r>
      <w:r w:rsidR="00474C53" w:rsidRPr="007E4D50">
        <w:t xml:space="preserve"> exposure due to migration of the non-evaluated substances</w:t>
      </w:r>
      <w:r w:rsidR="00C0626B" w:rsidRPr="007E4D50">
        <w:t xml:space="preserve"> </w:t>
      </w:r>
      <w:r w:rsidR="00474C53" w:rsidRPr="007E4D50">
        <w:t>could therefore not be performed</w:t>
      </w:r>
      <w:r w:rsidR="00894093" w:rsidRPr="007E4D50">
        <w:t>.</w:t>
      </w:r>
      <w:r w:rsidR="00894093">
        <w:t xml:space="preserve"> </w:t>
      </w:r>
    </w:p>
    <w:p w:rsidR="00C60DAE" w:rsidRPr="00381D60" w:rsidRDefault="00894093" w:rsidP="00617D83">
      <w:pPr>
        <w:spacing w:after="0" w:line="480" w:lineRule="auto"/>
        <w:jc w:val="both"/>
      </w:pPr>
      <w:r w:rsidRPr="007E4D50">
        <w:t>However</w:t>
      </w:r>
      <w:r w:rsidR="00B10093" w:rsidRPr="007E4D50">
        <w:t>,</w:t>
      </w:r>
      <w:r w:rsidRPr="007E4D50">
        <w:t xml:space="preserve"> </w:t>
      </w:r>
      <w:r w:rsidR="00B940BE" w:rsidRPr="007E4D50">
        <w:t>a first</w:t>
      </w:r>
      <w:r w:rsidR="00B940BE" w:rsidRPr="00894093">
        <w:t xml:space="preserve"> indication</w:t>
      </w:r>
      <w:r w:rsidR="003B26BB" w:rsidRPr="00894093">
        <w:t xml:space="preserve"> </w:t>
      </w:r>
      <w:r w:rsidR="004C5092" w:rsidRPr="00894093">
        <w:t xml:space="preserve">can </w:t>
      </w:r>
      <w:r w:rsidR="00B940BE" w:rsidRPr="00894093">
        <w:t xml:space="preserve">be obtained </w:t>
      </w:r>
      <w:r w:rsidR="002B743C">
        <w:t>through inspection of</w:t>
      </w:r>
      <w:r w:rsidR="00B940BE" w:rsidRPr="00894093">
        <w:t xml:space="preserve"> the </w:t>
      </w:r>
      <w:r w:rsidR="00BC0546" w:rsidRPr="00894093">
        <w:t>substances</w:t>
      </w:r>
      <w:r w:rsidR="001F6976">
        <w:t>’</w:t>
      </w:r>
      <w:r w:rsidR="00BC0546" w:rsidRPr="00894093">
        <w:t xml:space="preserve"> </w:t>
      </w:r>
      <w:r w:rsidR="00B940BE" w:rsidRPr="00894093">
        <w:t xml:space="preserve">physicochemical </w:t>
      </w:r>
      <w:r w:rsidR="00BC0546" w:rsidRPr="00894093">
        <w:t>characteristics</w:t>
      </w:r>
      <w:r w:rsidR="004C5092" w:rsidRPr="00894093">
        <w:t>.</w:t>
      </w:r>
      <w:r w:rsidR="004C5092">
        <w:t xml:space="preserve"> The role of molecular weight and polarity in migration modelling has indeed been </w:t>
      </w:r>
      <w:r w:rsidR="004C5092">
        <w:lastRenderedPageBreak/>
        <w:t>demonstrated previously (</w:t>
      </w:r>
      <w:proofErr w:type="spellStart"/>
      <w:r w:rsidR="001128BF">
        <w:t>Hauder</w:t>
      </w:r>
      <w:proofErr w:type="spellEnd"/>
      <w:r w:rsidR="001128BF">
        <w:t xml:space="preserve"> et al., 2013; </w:t>
      </w:r>
      <w:proofErr w:type="spellStart"/>
      <w:r w:rsidR="001128BF">
        <w:t>Zülch</w:t>
      </w:r>
      <w:proofErr w:type="spellEnd"/>
      <w:r w:rsidR="001128BF">
        <w:t xml:space="preserve"> </w:t>
      </w:r>
      <w:r w:rsidR="00177D7E">
        <w:t xml:space="preserve">and </w:t>
      </w:r>
      <w:proofErr w:type="spellStart"/>
      <w:r w:rsidR="00177D7E">
        <w:t>Piringer</w:t>
      </w:r>
      <w:proofErr w:type="spellEnd"/>
      <w:r w:rsidR="001128BF">
        <w:t>, 2010</w:t>
      </w:r>
      <w:r w:rsidR="004C5092">
        <w:t xml:space="preserve">). </w:t>
      </w:r>
      <w:r w:rsidR="0031535D">
        <w:t>Most</w:t>
      </w:r>
      <w:r w:rsidR="004C5092">
        <w:t xml:space="preserve"> non-evaluated single substa</w:t>
      </w:r>
      <w:r w:rsidR="0031535D">
        <w:t>nces have</w:t>
      </w:r>
      <w:r w:rsidR="004C5092">
        <w:t xml:space="preserve"> a molecular weight below 1000 g/</w:t>
      </w:r>
      <w:proofErr w:type="spellStart"/>
      <w:r w:rsidR="004C5092">
        <w:t>mol</w:t>
      </w:r>
      <w:proofErr w:type="spellEnd"/>
      <w:r w:rsidR="00542D0A">
        <w:t>,</w:t>
      </w:r>
      <w:r w:rsidR="004C5092">
        <w:t xml:space="preserve"> indicating that they are likely to migrate. </w:t>
      </w:r>
      <w:r w:rsidR="0031535D">
        <w:t>Depending on their hydrophilic-lipophilic character, they</w:t>
      </w:r>
      <w:r w:rsidR="009A29F5">
        <w:t xml:space="preserve"> </w:t>
      </w:r>
      <w:r w:rsidR="0031535D">
        <w:t xml:space="preserve">can also </w:t>
      </w:r>
      <w:r w:rsidR="009A29F5">
        <w:t>become bioavailable after oral intake</w:t>
      </w:r>
      <w:r w:rsidR="00416823">
        <w:t xml:space="preserve"> and, consequently,</w:t>
      </w:r>
      <w:r w:rsidR="009A29F5">
        <w:t xml:space="preserve"> exert (toxic) effects.</w:t>
      </w:r>
      <w:r w:rsidR="0031535D">
        <w:t xml:space="preserve"> Thus</w:t>
      </w:r>
      <w:r w:rsidR="009A29F5">
        <w:t xml:space="preserve"> </w:t>
      </w:r>
      <w:r w:rsidR="0031535D">
        <w:t>a</w:t>
      </w:r>
      <w:r w:rsidR="002132DA">
        <w:t xml:space="preserve">dditional </w:t>
      </w:r>
      <w:r w:rsidR="00947150">
        <w:t xml:space="preserve">parameters linked to bioavailability </w:t>
      </w:r>
      <w:r w:rsidR="0031535D">
        <w:t xml:space="preserve">are important to consider, </w:t>
      </w:r>
      <w:r w:rsidR="00A75320">
        <w:t>e.g.</w:t>
      </w:r>
      <w:r w:rsidR="00947150">
        <w:t xml:space="preserve"> the</w:t>
      </w:r>
      <w:r w:rsidR="002132DA">
        <w:t xml:space="preserve"> water solubility/</w:t>
      </w:r>
      <w:proofErr w:type="spellStart"/>
      <w:r w:rsidR="002132DA">
        <w:t>octan</w:t>
      </w:r>
      <w:r w:rsidR="001B7301">
        <w:t>ol</w:t>
      </w:r>
      <w:proofErr w:type="spellEnd"/>
      <w:r w:rsidR="001B7301">
        <w:t>-water partition coefficient</w:t>
      </w:r>
      <w:r w:rsidR="007C7F12">
        <w:t xml:space="preserve"> (log P)</w:t>
      </w:r>
      <w:r w:rsidR="001B7301">
        <w:t xml:space="preserve"> </w:t>
      </w:r>
      <w:r w:rsidR="002132DA">
        <w:t>(</w:t>
      </w:r>
      <w:proofErr w:type="spellStart"/>
      <w:r w:rsidR="001128BF">
        <w:t>Schilter</w:t>
      </w:r>
      <w:proofErr w:type="spellEnd"/>
      <w:r w:rsidR="001128BF">
        <w:t xml:space="preserve"> et al., 2013</w:t>
      </w:r>
      <w:r w:rsidR="002132DA">
        <w:t>)</w:t>
      </w:r>
      <w:r w:rsidR="00947150">
        <w:t xml:space="preserve">, </w:t>
      </w:r>
      <w:r w:rsidR="006E71C0">
        <w:t>p</w:t>
      </w:r>
      <w:r w:rsidR="00941D6B" w:rsidRPr="00941D6B">
        <w:t xml:space="preserve">olar surface area </w:t>
      </w:r>
      <w:r w:rsidR="00542D0A">
        <w:t>(</w:t>
      </w:r>
      <w:proofErr w:type="spellStart"/>
      <w:r w:rsidR="001128BF">
        <w:t>Ghose</w:t>
      </w:r>
      <w:proofErr w:type="spellEnd"/>
      <w:r w:rsidR="001128BF">
        <w:t xml:space="preserve"> et al., 1999; </w:t>
      </w:r>
      <w:proofErr w:type="spellStart"/>
      <w:r w:rsidR="001128BF">
        <w:t>Veber</w:t>
      </w:r>
      <w:proofErr w:type="spellEnd"/>
      <w:r w:rsidR="001128BF">
        <w:t xml:space="preserve"> et al., 2002</w:t>
      </w:r>
      <w:r w:rsidR="00542D0A">
        <w:t xml:space="preserve">) </w:t>
      </w:r>
      <w:r w:rsidR="00941D6B" w:rsidRPr="00941D6B">
        <w:t xml:space="preserve">and </w:t>
      </w:r>
      <w:r w:rsidR="00941D6B">
        <w:t>n</w:t>
      </w:r>
      <w:r w:rsidR="00941D6B" w:rsidRPr="00941D6B">
        <w:t>umber of rotating bonds</w:t>
      </w:r>
      <w:r w:rsidR="00542D0A">
        <w:t xml:space="preserve"> (</w:t>
      </w:r>
      <w:proofErr w:type="spellStart"/>
      <w:r w:rsidR="001128BF">
        <w:t>Veber</w:t>
      </w:r>
      <w:proofErr w:type="spellEnd"/>
      <w:r w:rsidR="001128BF">
        <w:t xml:space="preserve"> et al., 2002</w:t>
      </w:r>
      <w:r w:rsidR="00542D0A">
        <w:t>)</w:t>
      </w:r>
      <w:r w:rsidR="00A23F84">
        <w:t xml:space="preserve">. </w:t>
      </w:r>
      <w:r w:rsidR="006E71C0">
        <w:t xml:space="preserve">The </w:t>
      </w:r>
      <w:r w:rsidR="00A75320">
        <w:t xml:space="preserve">so-called Lipinski rule </w:t>
      </w:r>
      <w:r w:rsidR="006E71C0">
        <w:t xml:space="preserve">combines </w:t>
      </w:r>
      <w:r w:rsidR="00A75320">
        <w:t>multiple</w:t>
      </w:r>
      <w:r w:rsidR="006E71C0">
        <w:t xml:space="preserve"> parameters to estimate b</w:t>
      </w:r>
      <w:r w:rsidR="00941D6B">
        <w:t xml:space="preserve">ioavailability. </w:t>
      </w:r>
      <w:r w:rsidR="006E71C0">
        <w:t>Although designed to identify biologically active compounds</w:t>
      </w:r>
      <w:r w:rsidR="00D623A9">
        <w:t xml:space="preserve"> during drug development</w:t>
      </w:r>
      <w:r w:rsidR="006E71C0">
        <w:t xml:space="preserve">, </w:t>
      </w:r>
      <w:r w:rsidR="00D623A9">
        <w:t>the rule</w:t>
      </w:r>
      <w:r w:rsidR="006E71C0">
        <w:t xml:space="preserve"> can also be of </w:t>
      </w:r>
      <w:r w:rsidR="00A75320">
        <w:t xml:space="preserve">toxicological </w:t>
      </w:r>
      <w:r w:rsidR="006E71C0" w:rsidRPr="007E4D50">
        <w:t>interest</w:t>
      </w:r>
      <w:r w:rsidR="00941D6B" w:rsidRPr="007E4D50">
        <w:t>.</w:t>
      </w:r>
      <w:r w:rsidR="006E71C0" w:rsidRPr="007E4D50">
        <w:t xml:space="preserve"> </w:t>
      </w:r>
      <w:r w:rsidR="00416823" w:rsidRPr="007E4D50">
        <w:t xml:space="preserve">About </w:t>
      </w:r>
      <w:r w:rsidR="00EC6ABE" w:rsidRPr="007E4D50">
        <w:t>7</w:t>
      </w:r>
      <w:r w:rsidR="00416823" w:rsidRPr="007E4D50">
        <w:t>0</w:t>
      </w:r>
      <w:r w:rsidR="00EC6ABE" w:rsidRPr="007E4D50">
        <w:t xml:space="preserve">% of the non-evaluated single substances </w:t>
      </w:r>
      <w:r w:rsidR="00416823" w:rsidRPr="007E4D50">
        <w:t>fulfilled all four criteria used to evaluate bioavailability and therefore</w:t>
      </w:r>
      <w:r w:rsidR="00A26CD9" w:rsidRPr="007E4D50">
        <w:t>, they are</w:t>
      </w:r>
      <w:r w:rsidR="00416823" w:rsidRPr="007E4D50">
        <w:t xml:space="preserve"> </w:t>
      </w:r>
      <w:r w:rsidR="00EC6ABE" w:rsidRPr="007E4D50">
        <w:t xml:space="preserve">estimated to become bioavailable after oral intake. </w:t>
      </w:r>
      <w:r w:rsidR="00D623A9" w:rsidRPr="007E4D50">
        <w:t>As alre</w:t>
      </w:r>
      <w:r w:rsidR="00D623A9" w:rsidRPr="00381D60">
        <w:t xml:space="preserve">ady indicated, </w:t>
      </w:r>
      <w:r w:rsidR="007803DC" w:rsidRPr="00381D60">
        <w:t xml:space="preserve">the parameters used </w:t>
      </w:r>
      <w:r w:rsidR="005A2380" w:rsidRPr="00381D60">
        <w:t>here</w:t>
      </w:r>
      <w:r w:rsidR="007803DC" w:rsidRPr="00381D60">
        <w:t xml:space="preserve"> only provide a rough estimation. </w:t>
      </w:r>
      <w:r w:rsidR="00D1672B" w:rsidRPr="00381D60">
        <w:t>Refinement through switching from cut-off</w:t>
      </w:r>
      <w:r w:rsidR="00D623A9" w:rsidRPr="00381D60">
        <w:t xml:space="preserve"> value</w:t>
      </w:r>
      <w:r w:rsidR="00D1672B" w:rsidRPr="00381D60">
        <w:t xml:space="preserve">s to ranges could </w:t>
      </w:r>
      <w:r w:rsidR="007803DC" w:rsidRPr="00381D60">
        <w:t>help</w:t>
      </w:r>
      <w:r w:rsidR="00D1672B" w:rsidRPr="00381D60">
        <w:t xml:space="preserve"> to increase the prediction confidence</w:t>
      </w:r>
      <w:r w:rsidR="00F152B3" w:rsidRPr="00381D60">
        <w:t xml:space="preserve"> (e.g. substances with a log P below 0 are unlikely to display bioavailability, implying a decreased risk for toxic effects)</w:t>
      </w:r>
      <w:r w:rsidR="007803DC" w:rsidRPr="00381D60">
        <w:t>. At present,</w:t>
      </w:r>
      <w:r w:rsidR="00F152B3" w:rsidRPr="00381D60">
        <w:t xml:space="preserve"> such ranges </w:t>
      </w:r>
      <w:r w:rsidR="00D623A9" w:rsidRPr="00381D60">
        <w:t xml:space="preserve">have not yet been defined for </w:t>
      </w:r>
      <w:r w:rsidR="00F152B3" w:rsidRPr="00381D60">
        <w:t xml:space="preserve">FCM </w:t>
      </w:r>
      <w:r w:rsidR="00D623A9" w:rsidRPr="00381D60">
        <w:t>substances</w:t>
      </w:r>
      <w:r w:rsidR="00F152B3" w:rsidRPr="00381D60">
        <w:t>.</w:t>
      </w:r>
      <w:r w:rsidR="00D1672B" w:rsidRPr="00381D60">
        <w:t xml:space="preserve"> </w:t>
      </w:r>
    </w:p>
    <w:p w:rsidR="009F2FE7" w:rsidRDefault="0069215B" w:rsidP="00617D83">
      <w:pPr>
        <w:spacing w:after="0" w:line="480" w:lineRule="auto"/>
        <w:jc w:val="both"/>
        <w:rPr>
          <w:highlight w:val="yellow"/>
        </w:rPr>
      </w:pPr>
      <w:r w:rsidRPr="007E4D50">
        <w:t xml:space="preserve">A large number of non-evaluated single substances </w:t>
      </w:r>
      <w:r w:rsidR="003B3839" w:rsidRPr="007E4D50">
        <w:t>ha</w:t>
      </w:r>
      <w:r w:rsidR="007C7F12" w:rsidRPr="007E4D50">
        <w:t>s</w:t>
      </w:r>
      <w:r w:rsidRPr="007E4D50">
        <w:t xml:space="preserve"> thus </w:t>
      </w:r>
      <w:r w:rsidR="003B3839" w:rsidRPr="007E4D50">
        <w:t>the potential</w:t>
      </w:r>
      <w:r w:rsidR="007C7F12" w:rsidRPr="007E4D50">
        <w:t xml:space="preserve"> to </w:t>
      </w:r>
      <w:r w:rsidRPr="007E4D50">
        <w:t xml:space="preserve">migrate into food and become bioavailable after oral intake. </w:t>
      </w:r>
      <w:r w:rsidRPr="00381D60">
        <w:t>One</w:t>
      </w:r>
      <w:r w:rsidR="005A2380" w:rsidRPr="00381D60">
        <w:t xml:space="preserve"> </w:t>
      </w:r>
      <w:r w:rsidR="008569C6" w:rsidRPr="00381D60">
        <w:t>limitation</w:t>
      </w:r>
      <w:r w:rsidRPr="00381D60">
        <w:t xml:space="preserve"> of the combined inventory is the lack of information </w:t>
      </w:r>
      <w:r w:rsidR="005A2380" w:rsidRPr="00381D60">
        <w:t>with respect to</w:t>
      </w:r>
      <w:r w:rsidRPr="00381D60">
        <w:t xml:space="preserve"> the actual use of the </w:t>
      </w:r>
      <w:r w:rsidR="005A2380" w:rsidRPr="00381D60">
        <w:t xml:space="preserve">different </w:t>
      </w:r>
      <w:r w:rsidRPr="00381D60">
        <w:t xml:space="preserve">substances. </w:t>
      </w:r>
      <w:r w:rsidR="005A2380" w:rsidRPr="00381D60">
        <w:t>Indeed, t</w:t>
      </w:r>
      <w:r w:rsidR="007C7F12" w:rsidRPr="00381D60">
        <w:t xml:space="preserve">he appearance of a </w:t>
      </w:r>
      <w:r w:rsidR="009F3366" w:rsidRPr="00381D60">
        <w:t>compound</w:t>
      </w:r>
      <w:r w:rsidR="007C7F12" w:rsidRPr="00381D60">
        <w:t xml:space="preserve"> in the inventory indicates that its </w:t>
      </w:r>
      <w:r w:rsidR="001447B6" w:rsidRPr="00381D60">
        <w:t xml:space="preserve">potential </w:t>
      </w:r>
      <w:r w:rsidR="007C7F12" w:rsidRPr="00381D60">
        <w:t xml:space="preserve">use as a printing ink and/or paper(board) FCM constituent has been </w:t>
      </w:r>
      <w:r w:rsidR="001447B6" w:rsidRPr="00381D60">
        <w:t>recorde</w:t>
      </w:r>
      <w:r w:rsidR="007C7F12" w:rsidRPr="00381D60">
        <w:t>d at least once</w:t>
      </w:r>
      <w:r w:rsidRPr="00381D60">
        <w:t xml:space="preserve">. </w:t>
      </w:r>
      <w:r w:rsidR="005A2380" w:rsidRPr="00381D60">
        <w:t>Whether it is still used today</w:t>
      </w:r>
      <w:r w:rsidRPr="00381D60">
        <w:t xml:space="preserve"> and </w:t>
      </w:r>
      <w:r w:rsidR="005A2380" w:rsidRPr="00381D60">
        <w:t xml:space="preserve">at what frequency is </w:t>
      </w:r>
      <w:r w:rsidR="00434EA8" w:rsidRPr="00381D60">
        <w:t>un</w:t>
      </w:r>
      <w:r w:rsidR="005A2380" w:rsidRPr="00381D60">
        <w:t>known</w:t>
      </w:r>
      <w:r w:rsidRPr="00381D60">
        <w:t xml:space="preserve">. This constraint has also been mentioned by </w:t>
      </w:r>
      <w:proofErr w:type="spellStart"/>
      <w:r w:rsidRPr="00381D60">
        <w:t>Geueke</w:t>
      </w:r>
      <w:proofErr w:type="spellEnd"/>
      <w:r w:rsidRPr="00381D60">
        <w:t xml:space="preserve"> and colleagues (2014)</w:t>
      </w:r>
      <w:r w:rsidR="00842566" w:rsidRPr="00381D60">
        <w:t>, who compared</w:t>
      </w:r>
      <w:r w:rsidRPr="00381D60">
        <w:t xml:space="preserve"> FCM databases with inventories of chemicals of concern (COC) to identify</w:t>
      </w:r>
      <w:r w:rsidR="00842566" w:rsidRPr="00381D60">
        <w:t xml:space="preserve"> potential toxic </w:t>
      </w:r>
      <w:r w:rsidR="00842566" w:rsidRPr="003B7029">
        <w:t>components</w:t>
      </w:r>
      <w:r w:rsidRPr="003B7029">
        <w:t>.</w:t>
      </w:r>
      <w:r w:rsidR="00416823" w:rsidRPr="003B7029">
        <w:t xml:space="preserve"> </w:t>
      </w:r>
      <w:r w:rsidR="003B7029" w:rsidRPr="003B7029">
        <w:t>Preliminary information</w:t>
      </w:r>
      <w:r w:rsidR="00416823" w:rsidRPr="003B7029">
        <w:t xml:space="preserve"> on the actual use of substances in FCM can however be obtained from </w:t>
      </w:r>
      <w:r w:rsidR="00977015" w:rsidRPr="003B7029">
        <w:t>the FACET tool</w:t>
      </w:r>
      <w:r w:rsidR="00434EA8" w:rsidRPr="003B7029">
        <w:t>,</w:t>
      </w:r>
      <w:r w:rsidR="00977015" w:rsidRPr="003B7029">
        <w:t xml:space="preserve"> which contains</w:t>
      </w:r>
      <w:r w:rsidR="00416823" w:rsidRPr="003B7029">
        <w:t xml:space="preserve"> </w:t>
      </w:r>
      <w:r w:rsidR="00977015" w:rsidRPr="003B7029">
        <w:t>a list of substances used for the manufacture of primary packaging FCM. This list has been compiled in collaboration with industry</w:t>
      </w:r>
      <w:r w:rsidR="003B7029">
        <w:t>, hence</w:t>
      </w:r>
      <w:r w:rsidR="00977015" w:rsidRPr="003B7029">
        <w:t xml:space="preserve"> non-</w:t>
      </w:r>
      <w:r w:rsidR="00977015" w:rsidRPr="003B7029">
        <w:lastRenderedPageBreak/>
        <w:t xml:space="preserve">evaluated substances present in this list are more likely to be used </w:t>
      </w:r>
      <w:r w:rsidR="00A04449" w:rsidRPr="003B7029">
        <w:t xml:space="preserve">in FCM </w:t>
      </w:r>
      <w:r w:rsidR="00977015" w:rsidRPr="003B7029">
        <w:t>than those that are not included.</w:t>
      </w:r>
      <w:r w:rsidR="00977015" w:rsidRPr="00A26CD9">
        <w:rPr>
          <w:highlight w:val="yellow"/>
        </w:rPr>
        <w:t xml:space="preserve"> </w:t>
      </w:r>
    </w:p>
    <w:p w:rsidR="002B635A" w:rsidRDefault="006518C7" w:rsidP="00617D83">
      <w:pPr>
        <w:spacing w:after="0" w:line="480" w:lineRule="auto"/>
        <w:jc w:val="both"/>
        <w:rPr>
          <w:highlight w:val="yellow"/>
        </w:rPr>
      </w:pPr>
      <w:r w:rsidRPr="003B7029">
        <w:t>M</w:t>
      </w:r>
      <w:r w:rsidR="00425E1D" w:rsidRPr="003B7029">
        <w:t>ore than 95%</w:t>
      </w:r>
      <w:r w:rsidR="00A04449" w:rsidRPr="003B7029">
        <w:t xml:space="preserve"> of the non-evaluated substances with the potential to migrate an</w:t>
      </w:r>
      <w:r w:rsidR="00336C16" w:rsidRPr="003B7029">
        <w:t>d</w:t>
      </w:r>
      <w:r w:rsidR="00A04449" w:rsidRPr="003B7029">
        <w:t xml:space="preserve"> become bioavailable were indicated to be used in primary packaging FCM</w:t>
      </w:r>
      <w:r w:rsidR="00A26CD9" w:rsidRPr="003B7029">
        <w:t xml:space="preserve"> by the FACET tool</w:t>
      </w:r>
      <w:r w:rsidR="00A04449" w:rsidRPr="003B7029">
        <w:t>. For these substances, the registration status under the REACH Regulation was checked. A</w:t>
      </w:r>
      <w:r w:rsidR="00A26CD9" w:rsidRPr="003B7029">
        <w:t>bout</w:t>
      </w:r>
      <w:r w:rsidR="00A04449" w:rsidRPr="003B7029">
        <w:t xml:space="preserve"> </w:t>
      </w:r>
      <w:r w:rsidRPr="003B7029">
        <w:t>60</w:t>
      </w:r>
      <w:r w:rsidR="00425E1D" w:rsidRPr="003B7029">
        <w:t>%</w:t>
      </w:r>
      <w:r w:rsidR="00A04449" w:rsidRPr="003B7029">
        <w:t xml:space="preserve"> of the substances was found to be registered under REACH. Assuming that the unregistered substances are in agreement with the registration deadline, their production volume should be below 100 ton</w:t>
      </w:r>
      <w:r w:rsidR="00971013" w:rsidRPr="003B7029">
        <w:t>/</w:t>
      </w:r>
      <w:r w:rsidR="00A04449" w:rsidRPr="003B7029">
        <w:t xml:space="preserve">year. </w:t>
      </w:r>
      <w:r w:rsidR="00A04449" w:rsidRPr="00F553BF">
        <w:t xml:space="preserve">Although registered non-evaluated substances are more likely to be produced in higher volumes than the non-registered ones, this </w:t>
      </w:r>
      <w:r w:rsidR="0095157B" w:rsidRPr="00F553BF">
        <w:t xml:space="preserve">does not </w:t>
      </w:r>
      <w:r w:rsidR="00A04449" w:rsidRPr="00F553BF">
        <w:t>necessarily</w:t>
      </w:r>
      <w:r w:rsidR="0095157B" w:rsidRPr="00F553BF">
        <w:t xml:space="preserve"> implicate</w:t>
      </w:r>
      <w:r w:rsidR="00A04449" w:rsidRPr="00F553BF">
        <w:t xml:space="preserve"> that they will be </w:t>
      </w:r>
      <w:r w:rsidR="00D22470" w:rsidRPr="00F553BF">
        <w:t xml:space="preserve">used </w:t>
      </w:r>
      <w:r w:rsidR="00A04449" w:rsidRPr="00F553BF">
        <w:t xml:space="preserve">more frequently </w:t>
      </w:r>
      <w:r w:rsidR="00D22470" w:rsidRPr="00F553BF">
        <w:t>i</w:t>
      </w:r>
      <w:r w:rsidR="00A04449" w:rsidRPr="00F553BF">
        <w:t xml:space="preserve">n FCM. </w:t>
      </w:r>
      <w:r w:rsidR="00A26CD9" w:rsidRPr="00F553BF">
        <w:t>However, for these registered substances, inclusion in the ECHA lists containing substances of (potential)</w:t>
      </w:r>
      <w:r w:rsidR="00A04449" w:rsidRPr="00F553BF">
        <w:t xml:space="preserve"> </w:t>
      </w:r>
      <w:r w:rsidR="00A26CD9" w:rsidRPr="00F553BF">
        <w:t>concern could be verified. Interestingly, 59 of the non-evaluated substances with the potential to migrate and</w:t>
      </w:r>
      <w:r w:rsidR="00336C16" w:rsidRPr="00F553BF">
        <w:t xml:space="preserve"> </w:t>
      </w:r>
      <w:r w:rsidR="00A26CD9" w:rsidRPr="00F553BF">
        <w:t xml:space="preserve">become bioavailable were found in the </w:t>
      </w:r>
      <w:proofErr w:type="spellStart"/>
      <w:r w:rsidR="00A26CD9" w:rsidRPr="00F553BF">
        <w:t>CoRAP</w:t>
      </w:r>
      <w:proofErr w:type="spellEnd"/>
      <w:r w:rsidR="00A26CD9" w:rsidRPr="00F553BF">
        <w:t xml:space="preserve"> list. </w:t>
      </w:r>
      <w:r w:rsidR="00DF4050" w:rsidRPr="00F553BF">
        <w:t>For these subst</w:t>
      </w:r>
      <w:r w:rsidR="00A26CD9" w:rsidRPr="00F553BF">
        <w:t>ances</w:t>
      </w:r>
      <w:r w:rsidR="00DF4050" w:rsidRPr="00F553BF">
        <w:t>, initial</w:t>
      </w:r>
      <w:r w:rsidR="00A26CD9" w:rsidRPr="00F553BF">
        <w:t xml:space="preserve"> concern</w:t>
      </w:r>
      <w:r w:rsidR="00DF4050" w:rsidRPr="00F553BF">
        <w:t>s that they pose a risk to</w:t>
      </w:r>
      <w:r w:rsidR="0095157B" w:rsidRPr="00F553BF">
        <w:t xml:space="preserve"> human health</w:t>
      </w:r>
      <w:r w:rsidR="00DF4050" w:rsidRPr="00F553BF">
        <w:t xml:space="preserve"> or environment have been raised. The </w:t>
      </w:r>
      <w:r w:rsidR="00C865B2" w:rsidRPr="00F553BF">
        <w:t xml:space="preserve">outcome of the </w:t>
      </w:r>
      <w:r w:rsidR="00DF4050" w:rsidRPr="00F553BF">
        <w:t xml:space="preserve">Member State evaluation </w:t>
      </w:r>
      <w:r w:rsidR="00C865B2" w:rsidRPr="00F553BF">
        <w:t xml:space="preserve">will clarify whether the initial concern was justified or not, information that is </w:t>
      </w:r>
      <w:r w:rsidR="003B3839" w:rsidRPr="00F553BF">
        <w:t xml:space="preserve">also </w:t>
      </w:r>
      <w:r w:rsidR="00C865B2" w:rsidRPr="00F553BF">
        <w:t xml:space="preserve">extremely relevant regarding their use in printed and board FCM. For the majority of the 59 substances, the Member State evaluation has </w:t>
      </w:r>
      <w:r w:rsidR="00DF4050" w:rsidRPr="00F553BF">
        <w:t xml:space="preserve">not </w:t>
      </w:r>
      <w:r w:rsidR="00C865B2" w:rsidRPr="00F553BF">
        <w:t xml:space="preserve">yet </w:t>
      </w:r>
      <w:r w:rsidR="00DF4050" w:rsidRPr="00F553BF">
        <w:t xml:space="preserve">started or is still </w:t>
      </w:r>
      <w:r w:rsidR="00C865B2" w:rsidRPr="00F553BF">
        <w:t>on-going</w:t>
      </w:r>
      <w:r w:rsidR="00DF4050" w:rsidRPr="00F553BF">
        <w:t>.</w:t>
      </w:r>
      <w:r w:rsidR="00A26CD9" w:rsidRPr="00F553BF">
        <w:t xml:space="preserve"> </w:t>
      </w:r>
      <w:r w:rsidR="00C865B2" w:rsidRPr="00F553BF">
        <w:t xml:space="preserve">Interestingly, </w:t>
      </w:r>
      <w:r w:rsidR="00314FDD" w:rsidRPr="00F553BF">
        <w:t xml:space="preserve">18 substances </w:t>
      </w:r>
      <w:r w:rsidR="00C865B2" w:rsidRPr="00F553BF">
        <w:t>were included in the SVHC and these substances are thus of real concern</w:t>
      </w:r>
      <w:r w:rsidR="00A26CD9" w:rsidRPr="00F553BF">
        <w:t>. In addition, t</w:t>
      </w:r>
      <w:r w:rsidR="00DD676E" w:rsidRPr="00F553BF">
        <w:t xml:space="preserve">wo </w:t>
      </w:r>
      <w:r w:rsidR="00C865B2" w:rsidRPr="00F553BF">
        <w:t xml:space="preserve">out of these 18 </w:t>
      </w:r>
      <w:r w:rsidR="00DD676E" w:rsidRPr="00F553BF">
        <w:t>substances were even present</w:t>
      </w:r>
      <w:r w:rsidR="00A26CD9" w:rsidRPr="00F553BF">
        <w:t xml:space="preserve"> in the Authorisation list</w:t>
      </w:r>
      <w:r w:rsidR="00C865B2" w:rsidRPr="00F553BF">
        <w:t xml:space="preserve">. One additional substance was found on </w:t>
      </w:r>
      <w:r w:rsidR="00A26CD9" w:rsidRPr="00F553BF">
        <w:t xml:space="preserve">the Restriction list. </w:t>
      </w:r>
      <w:r w:rsidR="00C865B2" w:rsidRPr="00F553BF">
        <w:t>For these 19</w:t>
      </w:r>
      <w:r w:rsidR="00A26CD9" w:rsidRPr="00F553BF">
        <w:t xml:space="preserve"> substances, the</w:t>
      </w:r>
      <w:r w:rsidR="00314FDD" w:rsidRPr="00F553BF">
        <w:t xml:space="preserve"> actual use in printed paper and board FCM should </w:t>
      </w:r>
      <w:r w:rsidR="00C865B2" w:rsidRPr="00F553BF">
        <w:t xml:space="preserve">thus </w:t>
      </w:r>
      <w:r w:rsidR="00314FDD" w:rsidRPr="00F553BF">
        <w:t xml:space="preserve">urgently be investigated. </w:t>
      </w:r>
    </w:p>
    <w:p w:rsidR="004C0B49" w:rsidRPr="00F553BF" w:rsidRDefault="00314FDD" w:rsidP="004C0B49">
      <w:pPr>
        <w:spacing w:after="0" w:line="480" w:lineRule="auto"/>
        <w:jc w:val="both"/>
        <w:rPr>
          <w:lang w:val="en-US"/>
        </w:rPr>
      </w:pPr>
      <w:r w:rsidRPr="00F553BF">
        <w:t xml:space="preserve">Additional information is also required for many of the other </w:t>
      </w:r>
      <w:r w:rsidR="006F2420" w:rsidRPr="00F553BF">
        <w:t xml:space="preserve">non-evaluated </w:t>
      </w:r>
      <w:r w:rsidRPr="00F553BF">
        <w:t xml:space="preserve">compounds. Indeed, for the registered substances, it should be noted that </w:t>
      </w:r>
      <w:r w:rsidR="00123C37" w:rsidRPr="00F553BF">
        <w:t xml:space="preserve">the majority has not been subject to an independent evaluation. </w:t>
      </w:r>
      <w:r w:rsidR="002B635A" w:rsidRPr="00F553BF">
        <w:rPr>
          <w:lang w:val="en-US"/>
        </w:rPr>
        <w:t>Information on the ECHA website has been introduced by the registrant</w:t>
      </w:r>
      <w:r w:rsidR="00123C37" w:rsidRPr="00F553BF">
        <w:rPr>
          <w:lang w:val="en-US"/>
        </w:rPr>
        <w:t>.</w:t>
      </w:r>
      <w:r w:rsidR="002B635A" w:rsidRPr="00F553BF">
        <w:rPr>
          <w:lang w:val="en-US"/>
        </w:rPr>
        <w:t xml:space="preserve"> ECHA may examine any registration dossier to verify if the information submitted by registrants is compliant with the legal requirements, but these compliance checks are only required for 5% of the registration dossiers </w:t>
      </w:r>
      <w:r w:rsidR="0095157B" w:rsidRPr="00F553BF">
        <w:rPr>
          <w:lang w:val="en-US"/>
        </w:rPr>
        <w:t>per</w:t>
      </w:r>
      <w:r w:rsidR="002B635A" w:rsidRPr="00F553BF">
        <w:rPr>
          <w:lang w:val="en-US"/>
        </w:rPr>
        <w:t xml:space="preserve"> tonnage band. Additionally, the number of substances for which a detailed </w:t>
      </w:r>
      <w:r w:rsidR="002B635A" w:rsidRPr="00F553BF">
        <w:rPr>
          <w:lang w:val="en-US"/>
        </w:rPr>
        <w:lastRenderedPageBreak/>
        <w:t xml:space="preserve">assessment of the risks to human health or the environment has been performed </w:t>
      </w:r>
      <w:r w:rsidR="004C0B49" w:rsidRPr="00F553BF">
        <w:rPr>
          <w:lang w:val="en-US"/>
        </w:rPr>
        <w:t>by the European Member States</w:t>
      </w:r>
      <w:r w:rsidR="0095157B" w:rsidRPr="00F553BF">
        <w:rPr>
          <w:lang w:val="en-US"/>
        </w:rPr>
        <w:t>,</w:t>
      </w:r>
      <w:r w:rsidR="004C0B49" w:rsidRPr="00F553BF">
        <w:rPr>
          <w:lang w:val="en-US"/>
        </w:rPr>
        <w:t xml:space="preserve"> is</w:t>
      </w:r>
      <w:r w:rsidR="002B635A" w:rsidRPr="00F553BF">
        <w:rPr>
          <w:lang w:val="en-US"/>
        </w:rPr>
        <w:t xml:space="preserve"> limited. </w:t>
      </w:r>
      <w:r w:rsidR="00123C37" w:rsidRPr="00F553BF">
        <w:rPr>
          <w:lang w:val="en-US"/>
        </w:rPr>
        <w:t xml:space="preserve">Furthermore, no data are available for all unregistered </w:t>
      </w:r>
      <w:r w:rsidR="006F2420" w:rsidRPr="00F553BF">
        <w:rPr>
          <w:lang w:val="en-US"/>
        </w:rPr>
        <w:t>substances</w:t>
      </w:r>
      <w:r w:rsidR="00123C37" w:rsidRPr="00F553BF">
        <w:rPr>
          <w:lang w:val="en-US"/>
        </w:rPr>
        <w:t xml:space="preserve">. </w:t>
      </w:r>
      <w:r w:rsidR="004E27DB" w:rsidRPr="00F553BF">
        <w:rPr>
          <w:lang w:val="en-US"/>
        </w:rPr>
        <w:t xml:space="preserve"> </w:t>
      </w:r>
    </w:p>
    <w:p w:rsidR="009F2FE7" w:rsidRPr="00F553BF" w:rsidRDefault="004C0B49" w:rsidP="004E27DB">
      <w:pPr>
        <w:spacing w:after="0" w:line="480" w:lineRule="auto"/>
        <w:jc w:val="both"/>
      </w:pPr>
      <w:r w:rsidRPr="00F553BF">
        <w:rPr>
          <w:lang w:val="en-US"/>
        </w:rPr>
        <w:t xml:space="preserve">The problems associated with migration of non-evaluated substances from printed paper and board </w:t>
      </w:r>
      <w:r w:rsidRPr="00F553BF">
        <w:t>have also been recognised by the FCM industry. As a</w:t>
      </w:r>
      <w:r w:rsidRPr="00381D60">
        <w:t xml:space="preserve"> response, several manufacturers and industry organisations have recently implemented (in-house) guidance documents with lists of substances that can be used and/or should be avoided in the production of FCM. Some examples are the Nestlé Guidance Note on Packaging Inks (Nestlé, 2014) and the Industry guideline for the Compliance of Paper &amp; Board Materials and Articles for Food Contact drafted by the Confederation of European Paper Industries (CEPI, 2012). Other interesting initiatives include for example the introduction of new barrier films for dry foods (pasta, cereals, rice) by different companies. These barriers sh</w:t>
      </w:r>
      <w:r w:rsidR="006A36D2" w:rsidRPr="00381D60">
        <w:t xml:space="preserve">ould prevent migration of </w:t>
      </w:r>
      <w:r w:rsidRPr="00381D60">
        <w:t>inks and their constituents from the packaging into the food (</w:t>
      </w:r>
      <w:proofErr w:type="spellStart"/>
      <w:r w:rsidRPr="00381D60">
        <w:t>Seltenrich</w:t>
      </w:r>
      <w:proofErr w:type="spellEnd"/>
      <w:r w:rsidRPr="00381D60">
        <w:t xml:space="preserve">, 2015). </w:t>
      </w:r>
      <w:r w:rsidRPr="00F553BF">
        <w:t>At present, the efficacy of the barriers towards the large number of chemically divergent substances that can be used in printed paper and board FCM is not clear</w:t>
      </w:r>
      <w:r w:rsidR="006A36D2" w:rsidRPr="00F553BF">
        <w:t>.</w:t>
      </w:r>
      <w:r w:rsidRPr="00F553BF">
        <w:t xml:space="preserve"> </w:t>
      </w:r>
    </w:p>
    <w:p w:rsidR="00373186" w:rsidRDefault="004C0B49" w:rsidP="004E27DB">
      <w:pPr>
        <w:spacing w:after="0" w:line="480" w:lineRule="auto"/>
        <w:jc w:val="both"/>
        <w:rPr>
          <w:highlight w:val="yellow"/>
        </w:rPr>
      </w:pPr>
      <w:r w:rsidRPr="00F553BF">
        <w:t>Ideally, the toxicological profile of all substances used in printed and board FCM should thus be characteri</w:t>
      </w:r>
      <w:r w:rsidR="0095157B" w:rsidRPr="00F553BF">
        <w:t>s</w:t>
      </w:r>
      <w:r w:rsidRPr="00F553BF">
        <w:t xml:space="preserve">ed. </w:t>
      </w:r>
      <w:r w:rsidR="002F4B5E" w:rsidRPr="00F553BF">
        <w:t>A</w:t>
      </w:r>
      <w:r w:rsidR="00EA4519" w:rsidRPr="00F553BF">
        <w:t>s an</w:t>
      </w:r>
      <w:r w:rsidR="002F4B5E" w:rsidRPr="00F553BF">
        <w:t xml:space="preserve"> in-depth safety </w:t>
      </w:r>
      <w:r w:rsidR="00373186" w:rsidRPr="00F553BF">
        <w:t>assessment</w:t>
      </w:r>
      <w:r w:rsidR="002F4B5E" w:rsidRPr="00F553BF">
        <w:t xml:space="preserve"> of </w:t>
      </w:r>
      <w:r w:rsidR="004E27DB" w:rsidRPr="00F553BF">
        <w:t>this</w:t>
      </w:r>
      <w:r w:rsidR="002F4B5E" w:rsidRPr="00F553BF">
        <w:t xml:space="preserve"> large number of </w:t>
      </w:r>
      <w:r w:rsidR="00373186" w:rsidRPr="00F553BF">
        <w:t xml:space="preserve">non-evaluated </w:t>
      </w:r>
      <w:r w:rsidR="002F4B5E" w:rsidRPr="00F553BF">
        <w:t>substances is not feasible in the short term</w:t>
      </w:r>
      <w:r w:rsidR="00EA4519" w:rsidRPr="00F553BF">
        <w:t>,</w:t>
      </w:r>
      <w:r w:rsidR="002F4B5E" w:rsidRPr="00F553BF">
        <w:t xml:space="preserve"> </w:t>
      </w:r>
      <w:r w:rsidR="004E27DB" w:rsidRPr="00F553BF">
        <w:t xml:space="preserve">strategies should be developed to further assign priority. One possibility would be to investigate which compounds are migrating from printed paper and </w:t>
      </w:r>
      <w:r w:rsidRPr="00F553BF">
        <w:t>board.</w:t>
      </w:r>
      <w:r w:rsidR="006A36D2" w:rsidRPr="00F553BF">
        <w:t xml:space="preserve"> However, </w:t>
      </w:r>
      <w:r w:rsidR="00F553BF">
        <w:t xml:space="preserve">as already </w:t>
      </w:r>
      <w:r w:rsidR="00F553BF" w:rsidRPr="009F6CD5">
        <w:t>indic</w:t>
      </w:r>
      <w:r w:rsidR="003B3839" w:rsidRPr="009F6CD5">
        <w:t xml:space="preserve">ated, </w:t>
      </w:r>
      <w:r w:rsidR="006A36D2" w:rsidRPr="009F6CD5">
        <w:t>migration depends on the characteristics of the food contact material (thickness, density,…) and of the type of food in contact with the material. Therefore, it is not feasible to evaluate the migration potential of all substances in all applications and all materials possible.</w:t>
      </w:r>
      <w:r w:rsidR="00373186" w:rsidRPr="009F6CD5">
        <w:t xml:space="preserve"> Furthermore, compounds migrating in low quantities may remain undetected whereas they could have a bigger impact on human health than those migrating at higher levels (e.g. genotoxic carcinogens).</w:t>
      </w:r>
      <w:r w:rsidR="006A36D2" w:rsidRPr="009F6CD5">
        <w:t xml:space="preserve"> </w:t>
      </w:r>
      <w:r w:rsidRPr="00373186">
        <w:rPr>
          <w:highlight w:val="yellow"/>
        </w:rPr>
        <w:t xml:space="preserve"> </w:t>
      </w:r>
    </w:p>
    <w:p w:rsidR="009F6CD5" w:rsidRDefault="004C0B49" w:rsidP="00C66DB3">
      <w:pPr>
        <w:spacing w:after="0" w:line="480" w:lineRule="auto"/>
        <w:jc w:val="both"/>
        <w:sectPr w:rsidR="009F6CD5" w:rsidSect="00C61D10">
          <w:pgSz w:w="11906" w:h="16838"/>
          <w:pgMar w:top="1440" w:right="1440" w:bottom="1440" w:left="1440" w:header="708" w:footer="708" w:gutter="0"/>
          <w:lnNumType w:countBy="1" w:restart="continuous"/>
          <w:cols w:space="708"/>
          <w:docGrid w:linePitch="360"/>
        </w:sectPr>
      </w:pPr>
      <w:r w:rsidRPr="009F6CD5">
        <w:t xml:space="preserve">A promising approach consists of the application of </w:t>
      </w:r>
      <w:r w:rsidRPr="009F6CD5">
        <w:rPr>
          <w:i/>
        </w:rPr>
        <w:t>in silico</w:t>
      </w:r>
      <w:r w:rsidRPr="009F6CD5">
        <w:t xml:space="preserve"> tools, computer-based methodologies that allow </w:t>
      </w:r>
      <w:r w:rsidR="006A36D2" w:rsidRPr="009F6CD5">
        <w:t>investigating</w:t>
      </w:r>
      <w:r w:rsidRPr="009F6CD5">
        <w:t xml:space="preserve"> the toxicological properties of compounds without experimental testing.</w:t>
      </w:r>
      <w:r w:rsidR="00373186" w:rsidRPr="009F6CD5">
        <w:t xml:space="preserve"> Substances showing alerts for particular toxicological endpoints, could be assigned a high priority for </w:t>
      </w:r>
      <w:r w:rsidR="00373186" w:rsidRPr="009F6CD5">
        <w:lastRenderedPageBreak/>
        <w:t xml:space="preserve">further evaluation. </w:t>
      </w:r>
      <w:r w:rsidRPr="009F6CD5">
        <w:t xml:space="preserve">The information required to perform the </w:t>
      </w:r>
      <w:r w:rsidRPr="009F6CD5">
        <w:rPr>
          <w:i/>
        </w:rPr>
        <w:t>in silico</w:t>
      </w:r>
      <w:r w:rsidRPr="009F6CD5">
        <w:t xml:space="preserve"> predictions has already been included in the database. Consequently, </w:t>
      </w:r>
      <w:r w:rsidR="002F4B5E" w:rsidRPr="009F6CD5">
        <w:t>the combined inventory could serve as a basis for future priority setting</w:t>
      </w:r>
      <w:r w:rsidRPr="009F6CD5">
        <w:t xml:space="preserve"> of non-evaluated </w:t>
      </w:r>
      <w:r w:rsidR="002F4B5E" w:rsidRPr="009F6CD5">
        <w:t xml:space="preserve">substances </w:t>
      </w:r>
      <w:r w:rsidRPr="009F6CD5">
        <w:t>used in printed and board FCM</w:t>
      </w:r>
      <w:r w:rsidR="002F4B5E" w:rsidRPr="009F6CD5">
        <w:t xml:space="preserve">.   </w:t>
      </w:r>
    </w:p>
    <w:p w:rsidR="00053641" w:rsidRPr="00F152B3" w:rsidRDefault="00760DDA" w:rsidP="00F152B3">
      <w:pPr>
        <w:spacing w:after="0" w:line="480" w:lineRule="auto"/>
        <w:jc w:val="both"/>
        <w:rPr>
          <w:b/>
          <w:sz w:val="24"/>
        </w:rPr>
      </w:pPr>
      <w:r w:rsidRPr="009F6CD5">
        <w:rPr>
          <w:b/>
          <w:sz w:val="24"/>
        </w:rPr>
        <w:lastRenderedPageBreak/>
        <w:t xml:space="preserve">5. </w:t>
      </w:r>
      <w:r w:rsidR="00053641" w:rsidRPr="009F6CD5">
        <w:rPr>
          <w:b/>
          <w:sz w:val="24"/>
        </w:rPr>
        <w:t>Conclusion</w:t>
      </w:r>
    </w:p>
    <w:p w:rsidR="00AC1554" w:rsidRDefault="007852D6" w:rsidP="00F152B3">
      <w:pPr>
        <w:spacing w:after="0" w:line="480" w:lineRule="auto"/>
        <w:jc w:val="both"/>
      </w:pPr>
      <w:r>
        <w:t>Analysis of available legislative and invento</w:t>
      </w:r>
      <w:r w:rsidR="00AC1554">
        <w:t xml:space="preserve">ry documents </w:t>
      </w:r>
      <w:r>
        <w:t>shows that over 6000</w:t>
      </w:r>
      <w:r w:rsidR="00FD6E05">
        <w:t xml:space="preserve"> unique</w:t>
      </w:r>
      <w:r>
        <w:t xml:space="preserve"> su</w:t>
      </w:r>
      <w:r w:rsidR="00AC1554">
        <w:t>bstances can</w:t>
      </w:r>
      <w:r>
        <w:t xml:space="preserve"> be used</w:t>
      </w:r>
      <w:r w:rsidR="00AC1554">
        <w:t xml:space="preserve"> in the manufacture of </w:t>
      </w:r>
      <w:r w:rsidR="00501CCE">
        <w:t>printed paper and board</w:t>
      </w:r>
      <w:r w:rsidR="00F526A7">
        <w:t xml:space="preserve"> FCM</w:t>
      </w:r>
      <w:r w:rsidR="00AC1554">
        <w:t>.</w:t>
      </w:r>
      <w:r w:rsidR="00D702C1">
        <w:t xml:space="preserve"> </w:t>
      </w:r>
      <w:r w:rsidR="00AC1554">
        <w:t xml:space="preserve">The </w:t>
      </w:r>
      <w:r w:rsidR="00324426">
        <w:t xml:space="preserve">vast </w:t>
      </w:r>
      <w:r w:rsidR="00AC1554">
        <w:t xml:space="preserve">majority of them are considered non-evaluated, </w:t>
      </w:r>
      <w:r w:rsidR="00FC5C4C">
        <w:t>pointing out</w:t>
      </w:r>
      <w:r w:rsidR="00AC1554">
        <w:t xml:space="preserve"> a</w:t>
      </w:r>
      <w:r w:rsidR="002D3612">
        <w:t>n important</w:t>
      </w:r>
      <w:r w:rsidR="00AC1554">
        <w:t xml:space="preserve"> knowledge gap </w:t>
      </w:r>
      <w:r w:rsidR="00324426">
        <w:t xml:space="preserve">in </w:t>
      </w:r>
      <w:r w:rsidR="002D3612">
        <w:t>the safety evaluation of these substances</w:t>
      </w:r>
      <w:r w:rsidR="00AC1554">
        <w:t xml:space="preserve">. </w:t>
      </w:r>
      <w:r w:rsidR="002D3612">
        <w:t xml:space="preserve">Furthermore, based on </w:t>
      </w:r>
      <w:r w:rsidR="005E1030">
        <w:t>a preliminary study of the</w:t>
      </w:r>
      <w:r w:rsidR="00324426">
        <w:t xml:space="preserve"> physicochemical properties </w:t>
      </w:r>
      <w:r w:rsidR="005E1030">
        <w:t>of the substances, it is estimated</w:t>
      </w:r>
      <w:r w:rsidR="00324426">
        <w:t xml:space="preserve"> that </w:t>
      </w:r>
      <w:r w:rsidR="00601514">
        <w:t>64%</w:t>
      </w:r>
      <w:r w:rsidR="00324426">
        <w:t xml:space="preserve"> of the non-</w:t>
      </w:r>
      <w:r w:rsidR="00324426" w:rsidRPr="009F6CD5">
        <w:t xml:space="preserve">evaluated </w:t>
      </w:r>
      <w:r w:rsidR="005E1030" w:rsidRPr="009F6CD5">
        <w:t xml:space="preserve">single </w:t>
      </w:r>
      <w:r w:rsidR="00324426" w:rsidRPr="009F6CD5">
        <w:t xml:space="preserve">substances </w:t>
      </w:r>
      <w:r w:rsidR="00063F28" w:rsidRPr="009F6CD5">
        <w:t>have the potential to</w:t>
      </w:r>
      <w:r w:rsidR="00324426" w:rsidRPr="009F6CD5">
        <w:t xml:space="preserve"> migrate </w:t>
      </w:r>
      <w:r w:rsidR="005E1030" w:rsidRPr="009F6CD5">
        <w:t xml:space="preserve">into the food </w:t>
      </w:r>
      <w:r w:rsidR="00063F28" w:rsidRPr="009F6CD5">
        <w:t>and</w:t>
      </w:r>
      <w:r w:rsidR="00FD6E05" w:rsidRPr="009F6CD5">
        <w:t xml:space="preserve"> be</w:t>
      </w:r>
      <w:r w:rsidR="005E1030" w:rsidRPr="009F6CD5">
        <w:t>come</w:t>
      </w:r>
      <w:r w:rsidR="00FD6E05" w:rsidRPr="009F6CD5">
        <w:t xml:space="preserve"> bioavailable</w:t>
      </w:r>
      <w:r w:rsidR="005E1030" w:rsidRPr="009F6CD5">
        <w:t xml:space="preserve"> after oral intake</w:t>
      </w:r>
      <w:r w:rsidR="00324426" w:rsidRPr="009F6CD5">
        <w:t xml:space="preserve">. </w:t>
      </w:r>
      <w:r w:rsidR="003E2C48" w:rsidRPr="009F6CD5">
        <w:t xml:space="preserve">Importantly, </w:t>
      </w:r>
      <w:r w:rsidR="00373186" w:rsidRPr="009F6CD5">
        <w:t>19</w:t>
      </w:r>
      <w:r w:rsidR="003E2C48" w:rsidRPr="009F6CD5">
        <w:t xml:space="preserve"> of these are present in one of the lists with substances of concern compiled by the European Chemicals Agency (ECHA). </w:t>
      </w:r>
      <w:r w:rsidR="00D702C1" w:rsidRPr="009F6CD5">
        <w:t xml:space="preserve">To prevent future </w:t>
      </w:r>
      <w:r w:rsidR="00515345" w:rsidRPr="009F6CD5">
        <w:t xml:space="preserve">food </w:t>
      </w:r>
      <w:r w:rsidR="00D702C1" w:rsidRPr="009F6CD5">
        <w:t>safety issues</w:t>
      </w:r>
      <w:r w:rsidR="00515345" w:rsidRPr="009F6CD5">
        <w:t xml:space="preserve">, </w:t>
      </w:r>
      <w:r w:rsidR="008855E3" w:rsidRPr="009F6CD5">
        <w:t>the actual use of</w:t>
      </w:r>
      <w:r w:rsidR="005E1030" w:rsidRPr="009F6CD5">
        <w:t xml:space="preserve"> these substances </w:t>
      </w:r>
      <w:r w:rsidR="008855E3" w:rsidRPr="009F6CD5">
        <w:t>in printed paper and board FCM should be</w:t>
      </w:r>
      <w:r w:rsidR="005E1030" w:rsidRPr="009F6CD5">
        <w:t xml:space="preserve"> urgently </w:t>
      </w:r>
      <w:r w:rsidR="008855E3" w:rsidRPr="009F6CD5">
        <w:t>investigated</w:t>
      </w:r>
      <w:r w:rsidR="005E1030" w:rsidRPr="009F6CD5">
        <w:t>.</w:t>
      </w:r>
      <w:r w:rsidR="005E1030">
        <w:t xml:space="preserve"> </w:t>
      </w:r>
    </w:p>
    <w:p w:rsidR="00E11608" w:rsidRDefault="00E11608" w:rsidP="00F152B3">
      <w:pPr>
        <w:spacing w:after="0" w:line="480" w:lineRule="auto"/>
        <w:jc w:val="both"/>
      </w:pPr>
    </w:p>
    <w:p w:rsidR="00E11608" w:rsidRDefault="00E11608" w:rsidP="00E11608">
      <w:pPr>
        <w:spacing w:after="0" w:line="480" w:lineRule="auto"/>
        <w:rPr>
          <w:b/>
          <w:sz w:val="24"/>
        </w:rPr>
      </w:pPr>
      <w:r>
        <w:rPr>
          <w:b/>
          <w:sz w:val="24"/>
        </w:rPr>
        <w:t>Conflicts of interest</w:t>
      </w:r>
    </w:p>
    <w:p w:rsidR="00DB402B" w:rsidRDefault="00E11608" w:rsidP="00E11608">
      <w:pPr>
        <w:spacing w:after="0" w:line="480" w:lineRule="auto"/>
      </w:pPr>
      <w:r>
        <w:t>The authors declare that there are no conflicts of interest.</w:t>
      </w:r>
    </w:p>
    <w:p w:rsidR="009F6CD5" w:rsidRDefault="009F6CD5" w:rsidP="00E11608">
      <w:pPr>
        <w:spacing w:after="0" w:line="480" w:lineRule="auto"/>
        <w:rPr>
          <w:b/>
          <w:sz w:val="24"/>
        </w:rPr>
      </w:pPr>
    </w:p>
    <w:p w:rsidR="00E11608" w:rsidRPr="00736DD8" w:rsidRDefault="00E11608" w:rsidP="00E11608">
      <w:pPr>
        <w:spacing w:after="0" w:line="480" w:lineRule="auto"/>
        <w:rPr>
          <w:b/>
          <w:sz w:val="24"/>
        </w:rPr>
      </w:pPr>
      <w:r>
        <w:rPr>
          <w:b/>
          <w:sz w:val="24"/>
        </w:rPr>
        <w:t>Acknowledgements</w:t>
      </w:r>
    </w:p>
    <w:p w:rsidR="00E972C3" w:rsidRDefault="00E11608" w:rsidP="00E241DA">
      <w:pPr>
        <w:spacing w:after="0" w:line="480" w:lineRule="auto"/>
        <w:sectPr w:rsidR="00E972C3" w:rsidSect="00C61D10">
          <w:pgSz w:w="11906" w:h="16838"/>
          <w:pgMar w:top="1440" w:right="1440" w:bottom="1440" w:left="1440" w:header="708" w:footer="708" w:gutter="0"/>
          <w:lnNumType w:countBy="1" w:restart="continuous"/>
          <w:cols w:space="708"/>
          <w:docGrid w:linePitch="360"/>
        </w:sectPr>
      </w:pPr>
      <w:r>
        <w:t xml:space="preserve">This work was </w:t>
      </w:r>
      <w:r w:rsidR="003D05DE">
        <w:t>supported by</w:t>
      </w:r>
      <w:r>
        <w:t xml:space="preserve"> the Belgian Scientific Institute of Public Health.</w:t>
      </w:r>
    </w:p>
    <w:p w:rsidR="00334A34" w:rsidRPr="00736DD8" w:rsidRDefault="002D69AA" w:rsidP="00E241DA">
      <w:pPr>
        <w:spacing w:after="0" w:line="480" w:lineRule="auto"/>
        <w:rPr>
          <w:b/>
          <w:sz w:val="24"/>
        </w:rPr>
      </w:pPr>
      <w:r w:rsidRPr="007C2AAF">
        <w:rPr>
          <w:b/>
          <w:sz w:val="24"/>
        </w:rPr>
        <w:lastRenderedPageBreak/>
        <w:t>References</w:t>
      </w:r>
    </w:p>
    <w:p w:rsidR="008C76A5" w:rsidRDefault="008C76A5" w:rsidP="008C76A5">
      <w:pPr>
        <w:spacing w:after="0" w:line="480" w:lineRule="auto"/>
      </w:pPr>
      <w:r w:rsidRPr="000B3B45">
        <w:t>CEPI</w:t>
      </w:r>
      <w:r>
        <w:t xml:space="preserve">, 2012. </w:t>
      </w:r>
      <w:r w:rsidRPr="008C76A5">
        <w:t xml:space="preserve">Industry guideline for the Compliance of Paper &amp; Board Materials and Articles for Food </w:t>
      </w:r>
    </w:p>
    <w:p w:rsidR="008C76A5" w:rsidRDefault="008C76A5" w:rsidP="008C76A5">
      <w:pPr>
        <w:spacing w:after="0" w:line="480" w:lineRule="auto"/>
        <w:ind w:left="720"/>
      </w:pPr>
      <w:r w:rsidRPr="008C76A5">
        <w:t>Contact</w:t>
      </w:r>
      <w:r>
        <w:t xml:space="preserve">. Available from: </w:t>
      </w:r>
      <w:hyperlink r:id="rId11" w:history="1">
        <w:r w:rsidRPr="00E70403">
          <w:rPr>
            <w:rStyle w:val="Hyperlink"/>
          </w:rPr>
          <w:t>http://www.cepi.org/system/files/public/documents/publications/foodcontact/2012/Industry%20guideline-updated2012final.pdf</w:t>
        </w:r>
      </w:hyperlink>
      <w:r>
        <w:t xml:space="preserve"> (</w:t>
      </w:r>
      <w:r w:rsidR="00585CC1">
        <w:t xml:space="preserve">last </w:t>
      </w:r>
      <w:r>
        <w:t>accessed 08.0</w:t>
      </w:r>
      <w:r w:rsidR="00585CC1">
        <w:t>6</w:t>
      </w:r>
      <w:r>
        <w:t>.16).</w:t>
      </w:r>
    </w:p>
    <w:p w:rsidR="001B7F36" w:rsidRDefault="001B7F36" w:rsidP="001B7F36">
      <w:pPr>
        <w:spacing w:after="0" w:line="480" w:lineRule="auto"/>
      </w:pPr>
      <w:r w:rsidRPr="008E0BA6">
        <w:t xml:space="preserve">Council of Europe, 2009. Resolution </w:t>
      </w:r>
      <w:proofErr w:type="spellStart"/>
      <w:r w:rsidRPr="008E0BA6">
        <w:t>ResAp</w:t>
      </w:r>
      <w:proofErr w:type="spellEnd"/>
      <w:r w:rsidRPr="008E0BA6">
        <w:t xml:space="preserve"> (2002) 1 on paper and board materials and articles </w:t>
      </w:r>
    </w:p>
    <w:p w:rsidR="001B7F36" w:rsidRDefault="001B7F36" w:rsidP="001B7F36">
      <w:pPr>
        <w:spacing w:after="0" w:line="480" w:lineRule="auto"/>
        <w:ind w:left="720"/>
      </w:pPr>
      <w:r w:rsidRPr="008E0BA6">
        <w:t>intended to come into contact with foodstuffs</w:t>
      </w:r>
      <w:r>
        <w:t xml:space="preserve">. </w:t>
      </w:r>
      <w:r w:rsidR="009C3C61">
        <w:t xml:space="preserve">Available from: </w:t>
      </w:r>
      <w:hyperlink r:id="rId12" w:history="1">
        <w:r w:rsidR="009C3C61" w:rsidRPr="00E70403">
          <w:rPr>
            <w:rStyle w:val="Hyperlink"/>
          </w:rPr>
          <w:t>http://www.coe.int/t/e/social_cohesion/soc-sp/public_health/food_contact/PS%20PAPER%20AND%20BOARD%20Version%204%20E.pdf</w:t>
        </w:r>
      </w:hyperlink>
      <w:r w:rsidR="009C3C61">
        <w:t xml:space="preserve"> (</w:t>
      </w:r>
      <w:r w:rsidR="00585CC1">
        <w:t xml:space="preserve">last </w:t>
      </w:r>
      <w:r w:rsidR="009C3C61">
        <w:t>accessed 08.0</w:t>
      </w:r>
      <w:r w:rsidR="00585CC1">
        <w:t>6</w:t>
      </w:r>
      <w:r w:rsidR="009C3C61">
        <w:t>.16).</w:t>
      </w:r>
    </w:p>
    <w:p w:rsidR="00C16471" w:rsidRDefault="00C16471" w:rsidP="00C16471">
      <w:pPr>
        <w:spacing w:after="0" w:line="480" w:lineRule="auto"/>
      </w:pPr>
      <w:r w:rsidRPr="00FE6D0F">
        <w:rPr>
          <w:lang w:val="fr-FR"/>
        </w:rPr>
        <w:t xml:space="preserve">de Fatima </w:t>
      </w:r>
      <w:proofErr w:type="spellStart"/>
      <w:r w:rsidRPr="00FE6D0F">
        <w:rPr>
          <w:lang w:val="fr-FR"/>
        </w:rPr>
        <w:t>Poças</w:t>
      </w:r>
      <w:proofErr w:type="spellEnd"/>
      <w:r w:rsidRPr="00FE6D0F">
        <w:rPr>
          <w:lang w:val="fr-FR"/>
        </w:rPr>
        <w:t xml:space="preserve">, M., </w:t>
      </w:r>
      <w:proofErr w:type="spellStart"/>
      <w:r w:rsidRPr="00FE6D0F">
        <w:rPr>
          <w:lang w:val="fr-FR"/>
        </w:rPr>
        <w:t>Hogg</w:t>
      </w:r>
      <w:proofErr w:type="spellEnd"/>
      <w:r w:rsidRPr="00FE6D0F">
        <w:rPr>
          <w:lang w:val="fr-FR"/>
        </w:rPr>
        <w:t>, T.</w:t>
      </w:r>
      <w:r>
        <w:rPr>
          <w:lang w:val="fr-FR"/>
        </w:rPr>
        <w:t>,</w:t>
      </w:r>
      <w:r w:rsidRPr="00FE6D0F">
        <w:rPr>
          <w:lang w:val="fr-FR"/>
        </w:rPr>
        <w:t xml:space="preserve"> 2007. </w:t>
      </w:r>
      <w:r>
        <w:t xml:space="preserve">Exposure assessment of chemicals from packaging materials in </w:t>
      </w:r>
    </w:p>
    <w:p w:rsidR="00C16471" w:rsidRDefault="00C16471" w:rsidP="00C16471">
      <w:pPr>
        <w:spacing w:after="0" w:line="480" w:lineRule="auto"/>
      </w:pPr>
      <w:r>
        <w:tab/>
        <w:t>foods: a review. Trends Food Sci. Tech. 18, 219-230.</w:t>
      </w:r>
    </w:p>
    <w:p w:rsidR="00ED4172" w:rsidRPr="000F77F5" w:rsidRDefault="00ED4172" w:rsidP="00ED4172">
      <w:pPr>
        <w:spacing w:after="0" w:line="480" w:lineRule="auto"/>
      </w:pPr>
      <w:r>
        <w:t>ECHA, 2016. ECHA Database. Available from: http:</w:t>
      </w:r>
      <w:r w:rsidRPr="00C76D17">
        <w:t>//</w:t>
      </w:r>
      <w:hyperlink r:id="rId13" w:history="1">
        <w:r w:rsidRPr="00E70403">
          <w:rPr>
            <w:rStyle w:val="Hyperlink"/>
          </w:rPr>
          <w:t>www.echa.europa.eu</w:t>
        </w:r>
      </w:hyperlink>
      <w:r w:rsidRPr="00C76D17">
        <w:t xml:space="preserve">/ </w:t>
      </w:r>
      <w:r>
        <w:t>(last accessed 15.06.16).</w:t>
      </w:r>
    </w:p>
    <w:p w:rsidR="00D46561" w:rsidRDefault="00D46561" w:rsidP="00D46561">
      <w:pPr>
        <w:spacing w:after="0" w:line="480" w:lineRule="auto"/>
      </w:pPr>
      <w:r w:rsidRPr="00B35CC0">
        <w:t xml:space="preserve">EFSA, 2005. Opinion of the Scientific Panel on Food Additives, Flavourings, Processing Aids and </w:t>
      </w:r>
    </w:p>
    <w:p w:rsidR="00D46561" w:rsidRPr="00B35CC0" w:rsidRDefault="00D46561" w:rsidP="00D46561">
      <w:pPr>
        <w:spacing w:after="0" w:line="480" w:lineRule="auto"/>
        <w:ind w:left="720"/>
      </w:pPr>
      <w:r w:rsidRPr="00B35CC0">
        <w:t xml:space="preserve">Materials in Contact with Food on a request from the Commission related to 2-isopropylthioxanthone (ITX) and 2-ethylhexyl-4-dimethylaminobenzoate (EHDAB) in food contact materials. EFSA J. 293, 1-15. </w:t>
      </w:r>
    </w:p>
    <w:p w:rsidR="00D46561" w:rsidRDefault="00D46561" w:rsidP="00D46561">
      <w:pPr>
        <w:spacing w:after="0" w:line="480" w:lineRule="auto"/>
      </w:pPr>
      <w:r w:rsidRPr="00875A29">
        <w:t xml:space="preserve">EFSA, 2009. EFSA statement on the presence of 4-methylbenzophenone found in breakfast cereals, </w:t>
      </w:r>
    </w:p>
    <w:p w:rsidR="00D46561" w:rsidRPr="005D1629" w:rsidRDefault="00D46561" w:rsidP="00D46561">
      <w:pPr>
        <w:spacing w:after="0" w:line="480" w:lineRule="auto"/>
        <w:rPr>
          <w:lang w:val="fr-BE"/>
        </w:rPr>
      </w:pPr>
      <w:r>
        <w:tab/>
      </w:r>
      <w:r w:rsidRPr="005D1629">
        <w:rPr>
          <w:lang w:val="fr-BE"/>
        </w:rPr>
        <w:t>EFSA J. RN-243, 1-19.</w:t>
      </w:r>
    </w:p>
    <w:p w:rsidR="00D46561" w:rsidRPr="00F9212F" w:rsidRDefault="00D46561" w:rsidP="00D46561">
      <w:pPr>
        <w:spacing w:after="0" w:line="480" w:lineRule="auto"/>
      </w:pPr>
      <w:r w:rsidRPr="005D1629">
        <w:rPr>
          <w:lang w:val="fr-BE"/>
        </w:rPr>
        <w:t>EFSA, 2011</w:t>
      </w:r>
      <w:r w:rsidR="009C3C61" w:rsidRPr="005D1629">
        <w:rPr>
          <w:lang w:val="fr-BE"/>
        </w:rPr>
        <w:t>a</w:t>
      </w:r>
      <w:r w:rsidRPr="005D1629">
        <w:rPr>
          <w:lang w:val="fr-BE"/>
        </w:rPr>
        <w:t xml:space="preserve">. </w:t>
      </w:r>
      <w:r w:rsidRPr="00B35CC0">
        <w:t>Report of ESCO WG on non-plastic Food Contact Materials</w:t>
      </w:r>
      <w:r>
        <w:t xml:space="preserve">. </w:t>
      </w:r>
      <w:r w:rsidRPr="00F9212F">
        <w:t xml:space="preserve">Available from: </w:t>
      </w:r>
    </w:p>
    <w:p w:rsidR="00D46561" w:rsidRDefault="009C3C61" w:rsidP="009C3C61">
      <w:pPr>
        <w:spacing w:after="0" w:line="480" w:lineRule="auto"/>
        <w:ind w:left="720"/>
      </w:pPr>
      <w:r w:rsidRPr="009C3C61">
        <w:t>http://www.efsa.europa.eu/sites/default/files/scientific_output/files/main_documents/139e.pdf</w:t>
      </w:r>
      <w:r w:rsidR="00D46561">
        <w:t xml:space="preserve"> (</w:t>
      </w:r>
      <w:r w:rsidR="00585CC1">
        <w:t xml:space="preserve">last </w:t>
      </w:r>
      <w:r w:rsidR="00D46561">
        <w:t>accessed 08.0</w:t>
      </w:r>
      <w:r w:rsidR="00585CC1">
        <w:t>6</w:t>
      </w:r>
      <w:r w:rsidR="00D46561">
        <w:t>.16).</w:t>
      </w:r>
    </w:p>
    <w:p w:rsidR="009C3C61" w:rsidRDefault="009C3C61" w:rsidP="009C3C61">
      <w:pPr>
        <w:spacing w:after="0" w:line="480" w:lineRule="auto"/>
      </w:pPr>
      <w:r w:rsidRPr="008E0BA6">
        <w:t>EFSA, 2011</w:t>
      </w:r>
      <w:r>
        <w:t>b</w:t>
      </w:r>
      <w:r w:rsidRPr="008E0BA6">
        <w:t xml:space="preserve">. EFSA Scientific Cooperation Working Group non-plastic food contact materials </w:t>
      </w:r>
      <w:r>
        <w:t xml:space="preserve">table. </w:t>
      </w:r>
    </w:p>
    <w:p w:rsidR="009C3C61" w:rsidRDefault="009C3C61" w:rsidP="009C3C61">
      <w:pPr>
        <w:spacing w:after="0" w:line="480" w:lineRule="auto"/>
        <w:ind w:left="720"/>
      </w:pPr>
      <w:r w:rsidRPr="001B7F36">
        <w:t xml:space="preserve">Available from:  </w:t>
      </w:r>
      <w:hyperlink r:id="rId14" w:history="1">
        <w:r w:rsidRPr="00E70403">
          <w:rPr>
            <w:rStyle w:val="Hyperlink"/>
          </w:rPr>
          <w:t>http://www.efsa.europa.eu/sites/default/files/scientific_output/files/main_documents/139eax1.xls</w:t>
        </w:r>
      </w:hyperlink>
      <w:r>
        <w:t xml:space="preserve"> (</w:t>
      </w:r>
      <w:r w:rsidR="00585CC1">
        <w:t xml:space="preserve">last </w:t>
      </w:r>
      <w:r>
        <w:t>accessed 08.0</w:t>
      </w:r>
      <w:r w:rsidR="00585CC1">
        <w:t>6</w:t>
      </w:r>
      <w:r>
        <w:t>.16)</w:t>
      </w:r>
    </w:p>
    <w:p w:rsidR="00F9212F" w:rsidRDefault="00CC153D" w:rsidP="00E241DA">
      <w:pPr>
        <w:spacing w:after="0" w:line="480" w:lineRule="auto"/>
      </w:pPr>
      <w:r w:rsidRPr="00140AA6">
        <w:lastRenderedPageBreak/>
        <w:t xml:space="preserve">EFSA, 2015. </w:t>
      </w:r>
      <w:r w:rsidR="00992AC3">
        <w:t xml:space="preserve">Food Contact Materials. Available from: </w:t>
      </w:r>
    </w:p>
    <w:p w:rsidR="00334A34" w:rsidRPr="00F9212F" w:rsidRDefault="00BA0E84" w:rsidP="00F9212F">
      <w:pPr>
        <w:spacing w:after="0" w:line="480" w:lineRule="auto"/>
        <w:ind w:firstLine="720"/>
        <w:rPr>
          <w:rStyle w:val="Hyperlink"/>
          <w:color w:val="auto"/>
          <w:u w:val="none"/>
        </w:rPr>
      </w:pPr>
      <w:hyperlink r:id="rId15" w:history="1">
        <w:r w:rsidR="00CC153D" w:rsidRPr="00140AA6">
          <w:rPr>
            <w:rStyle w:val="Hyperlink"/>
          </w:rPr>
          <w:t>http://www.efsa.europa.eu/en/topics/topic/foodcontactmaterials</w:t>
        </w:r>
      </w:hyperlink>
      <w:r w:rsidR="00F9212F">
        <w:rPr>
          <w:rStyle w:val="Hyperlink"/>
        </w:rPr>
        <w:t xml:space="preserve"> </w:t>
      </w:r>
      <w:r w:rsidR="00F9212F" w:rsidRPr="00F9212F">
        <w:rPr>
          <w:rStyle w:val="Hyperlink"/>
          <w:color w:val="auto"/>
          <w:u w:val="none"/>
        </w:rPr>
        <w:t>(</w:t>
      </w:r>
      <w:r w:rsidR="00585CC1">
        <w:rPr>
          <w:rStyle w:val="Hyperlink"/>
          <w:color w:val="auto"/>
          <w:u w:val="none"/>
        </w:rPr>
        <w:t xml:space="preserve">last </w:t>
      </w:r>
      <w:r w:rsidR="00F9212F" w:rsidRPr="00F9212F">
        <w:rPr>
          <w:rStyle w:val="Hyperlink"/>
          <w:color w:val="auto"/>
          <w:u w:val="none"/>
        </w:rPr>
        <w:t>accessed 08.0</w:t>
      </w:r>
      <w:r w:rsidR="00585CC1">
        <w:rPr>
          <w:rStyle w:val="Hyperlink"/>
          <w:color w:val="auto"/>
          <w:u w:val="none"/>
        </w:rPr>
        <w:t>6</w:t>
      </w:r>
      <w:r w:rsidR="00F9212F" w:rsidRPr="00F9212F">
        <w:rPr>
          <w:rStyle w:val="Hyperlink"/>
          <w:color w:val="auto"/>
          <w:u w:val="none"/>
        </w:rPr>
        <w:t>.16).</w:t>
      </w:r>
    </w:p>
    <w:p w:rsidR="00D93F17" w:rsidRDefault="00D93F17" w:rsidP="00E241DA">
      <w:pPr>
        <w:spacing w:after="0" w:line="480" w:lineRule="auto"/>
      </w:pPr>
      <w:proofErr w:type="spellStart"/>
      <w:r>
        <w:t>EuPIA</w:t>
      </w:r>
      <w:proofErr w:type="spellEnd"/>
      <w:r>
        <w:t xml:space="preserve">, 2013. </w:t>
      </w:r>
      <w:proofErr w:type="spellStart"/>
      <w:r w:rsidRPr="00D93F17">
        <w:t>EuPIA</w:t>
      </w:r>
      <w:proofErr w:type="spellEnd"/>
      <w:r w:rsidRPr="00D93F17">
        <w:t xml:space="preserve"> Suitability List of Photo-Initiators for Low Migration UV Printing Inks and </w:t>
      </w:r>
    </w:p>
    <w:p w:rsidR="00D93F17" w:rsidRDefault="00D93F17" w:rsidP="00D93F17">
      <w:pPr>
        <w:spacing w:after="0" w:line="480" w:lineRule="auto"/>
        <w:ind w:left="720"/>
      </w:pPr>
      <w:r w:rsidRPr="00D93F17">
        <w:t>Varnishes</w:t>
      </w:r>
      <w:r>
        <w:t xml:space="preserve">. Available from: </w:t>
      </w:r>
      <w:hyperlink r:id="rId16" w:history="1">
        <w:r w:rsidRPr="00E70403">
          <w:rPr>
            <w:rStyle w:val="Hyperlink"/>
          </w:rPr>
          <w:t>http://www.eupia.org/uploads/tx_edm/130219_corr3_EuPIA_Suitability_List_of_Photoinitiators_for_Low_migration_UV_Printing_Inks_and_Varnishes.pdf</w:t>
        </w:r>
      </w:hyperlink>
      <w:r>
        <w:t xml:space="preserve"> (</w:t>
      </w:r>
      <w:r w:rsidR="00585CC1">
        <w:t xml:space="preserve">last </w:t>
      </w:r>
      <w:r>
        <w:t>accessed 08.0</w:t>
      </w:r>
      <w:r w:rsidR="00585CC1">
        <w:t>6</w:t>
      </w:r>
      <w:r>
        <w:t>.16).</w:t>
      </w:r>
    </w:p>
    <w:p w:rsidR="00ED4172" w:rsidRDefault="00ED4172" w:rsidP="00ED4172">
      <w:pPr>
        <w:spacing w:after="0" w:line="480" w:lineRule="auto"/>
      </w:pPr>
      <w:r>
        <w:t>European Commission, 2016</w:t>
      </w:r>
      <w:r w:rsidRPr="00EA5046">
        <w:t xml:space="preserve">. Rapid Alert System in Food and Feed. Available from: </w:t>
      </w:r>
    </w:p>
    <w:p w:rsidR="00ED4172" w:rsidRPr="00ED4172" w:rsidRDefault="00ED4172" w:rsidP="00ED4172">
      <w:pPr>
        <w:spacing w:after="0" w:line="480" w:lineRule="auto"/>
        <w:rPr>
          <w:rStyle w:val="Hyperlink"/>
          <w:color w:val="auto"/>
          <w:u w:val="none"/>
        </w:rPr>
      </w:pPr>
      <w:r>
        <w:tab/>
      </w:r>
      <w:hyperlink r:id="rId17" w:history="1">
        <w:r w:rsidRPr="00EA5046">
          <w:rPr>
            <w:rStyle w:val="Hyperlink"/>
          </w:rPr>
          <w:t>http://ec.europa.eu/food/safety/rasff/portal/index_en.htm</w:t>
        </w:r>
      </w:hyperlink>
      <w:r w:rsidRPr="00ED4172">
        <w:rPr>
          <w:rStyle w:val="Hyperlink"/>
          <w:color w:val="auto"/>
          <w:u w:val="none"/>
        </w:rPr>
        <w:t xml:space="preserve"> (</w:t>
      </w:r>
      <w:r>
        <w:rPr>
          <w:rStyle w:val="Hyperlink"/>
          <w:color w:val="auto"/>
          <w:u w:val="none"/>
        </w:rPr>
        <w:t xml:space="preserve">last </w:t>
      </w:r>
      <w:r w:rsidRPr="00ED4172">
        <w:rPr>
          <w:rStyle w:val="Hyperlink"/>
          <w:color w:val="auto"/>
          <w:u w:val="none"/>
        </w:rPr>
        <w:t>accessed 08.0</w:t>
      </w:r>
      <w:r>
        <w:rPr>
          <w:rStyle w:val="Hyperlink"/>
          <w:color w:val="auto"/>
          <w:u w:val="none"/>
        </w:rPr>
        <w:t>6</w:t>
      </w:r>
      <w:r w:rsidRPr="00ED4172">
        <w:rPr>
          <w:rStyle w:val="Hyperlink"/>
          <w:color w:val="auto"/>
          <w:u w:val="none"/>
        </w:rPr>
        <w:t>.16).</w:t>
      </w:r>
    </w:p>
    <w:p w:rsidR="001436C9" w:rsidRDefault="00493BC7" w:rsidP="00E241DA">
      <w:pPr>
        <w:spacing w:after="0" w:line="480" w:lineRule="auto"/>
      </w:pPr>
      <w:r>
        <w:t xml:space="preserve">European </w:t>
      </w:r>
      <w:r w:rsidR="00214462">
        <w:t>Communities</w:t>
      </w:r>
      <w:r w:rsidR="00CC153D" w:rsidRPr="00B35CC0">
        <w:t xml:space="preserve">, 1984. Council Directive 84/500/EEC of 15 October 1984 on the </w:t>
      </w:r>
    </w:p>
    <w:p w:rsidR="00CC153D" w:rsidRDefault="00CC153D" w:rsidP="001436C9">
      <w:pPr>
        <w:spacing w:after="0" w:line="480" w:lineRule="auto"/>
        <w:ind w:left="720"/>
      </w:pPr>
      <w:r w:rsidRPr="00B35CC0">
        <w:t>approximation of the laws of the Member States relating to ceramic articles intended to come into contact with foodstuffs. Off</w:t>
      </w:r>
      <w:r w:rsidR="00493BC7">
        <w:t>.</w:t>
      </w:r>
      <w:r w:rsidRPr="00B35CC0">
        <w:t xml:space="preserve"> J</w:t>
      </w:r>
      <w:r w:rsidR="00493BC7">
        <w:t>.</w:t>
      </w:r>
      <w:r w:rsidRPr="00B35CC0">
        <w:t xml:space="preserve"> Eur</w:t>
      </w:r>
      <w:r w:rsidR="00493BC7">
        <w:t>.</w:t>
      </w:r>
      <w:r w:rsidRPr="00B35CC0">
        <w:t xml:space="preserve"> </w:t>
      </w:r>
      <w:r w:rsidR="00493BC7">
        <w:t>Communities L</w:t>
      </w:r>
      <w:r w:rsidR="001436C9">
        <w:t>227, 12-16</w:t>
      </w:r>
      <w:r w:rsidRPr="00B35CC0">
        <w:t xml:space="preserve">. </w:t>
      </w:r>
    </w:p>
    <w:p w:rsidR="00056B49" w:rsidRDefault="00056B49" w:rsidP="00056B49">
      <w:pPr>
        <w:spacing w:after="0" w:line="480" w:lineRule="auto"/>
      </w:pPr>
      <w:r w:rsidRPr="00F90089">
        <w:t>E</w:t>
      </w:r>
      <w:r>
        <w:t>uropean Union</w:t>
      </w:r>
      <w:r w:rsidRPr="00F90089">
        <w:t xml:space="preserve">, 2004. Regulation (EC) No 1935/2004 of the European Parliament and of the Council </w:t>
      </w:r>
    </w:p>
    <w:p w:rsidR="00056B49" w:rsidRDefault="00056B49" w:rsidP="00056B49">
      <w:pPr>
        <w:spacing w:after="0" w:line="480" w:lineRule="auto"/>
        <w:ind w:left="720"/>
      </w:pPr>
      <w:r w:rsidRPr="00F90089">
        <w:t>of 27 October 2004 on materials and articles intended to come into contact with food</w:t>
      </w:r>
      <w:r>
        <w:t xml:space="preserve"> </w:t>
      </w:r>
      <w:r w:rsidRPr="00493BC7">
        <w:t>and repealing Directives 80/590/EEC and 89/109/EEC</w:t>
      </w:r>
      <w:r w:rsidRPr="00F90089">
        <w:t>. Off</w:t>
      </w:r>
      <w:r>
        <w:t>.</w:t>
      </w:r>
      <w:r w:rsidRPr="00F90089">
        <w:t xml:space="preserve"> J</w:t>
      </w:r>
      <w:r>
        <w:t>.</w:t>
      </w:r>
      <w:r w:rsidRPr="00F90089">
        <w:t xml:space="preserve"> Eur</w:t>
      </w:r>
      <w:r>
        <w:t>.</w:t>
      </w:r>
      <w:r w:rsidRPr="00F90089">
        <w:t xml:space="preserve"> Union</w:t>
      </w:r>
      <w:r>
        <w:t xml:space="preserve"> L338, 1-20</w:t>
      </w:r>
      <w:r w:rsidRPr="00F90089">
        <w:t xml:space="preserve">. </w:t>
      </w:r>
    </w:p>
    <w:p w:rsidR="00191218" w:rsidRPr="00585CC1" w:rsidRDefault="006610E3" w:rsidP="00191218">
      <w:pPr>
        <w:spacing w:after="0" w:line="480" w:lineRule="auto"/>
      </w:pPr>
      <w:r w:rsidRPr="00585CC1">
        <w:t>European Union</w:t>
      </w:r>
      <w:r w:rsidR="002B35C9" w:rsidRPr="00585CC1">
        <w:t xml:space="preserve">, </w:t>
      </w:r>
      <w:r w:rsidRPr="00585CC1">
        <w:t>2006</w:t>
      </w:r>
      <w:r w:rsidR="002B35C9" w:rsidRPr="00585CC1">
        <w:t>.</w:t>
      </w:r>
      <w:r w:rsidRPr="00585CC1">
        <w:t xml:space="preserve"> Regulation (EC) No 1907/2006 of the European Parliament and of the </w:t>
      </w:r>
    </w:p>
    <w:p w:rsidR="006610E3" w:rsidRDefault="006610E3" w:rsidP="00425E1D">
      <w:pPr>
        <w:spacing w:after="0" w:line="480" w:lineRule="auto"/>
        <w:ind w:left="720"/>
      </w:pPr>
      <w:r w:rsidRPr="00585CC1">
        <w:t>Council of 18 December 2006 concerning the Registration, Evaluation, Authorisation and Restriction of Chemicals</w:t>
      </w:r>
      <w:r w:rsidR="0049355F" w:rsidRPr="00585CC1">
        <w:t xml:space="preserve"> </w:t>
      </w:r>
      <w:r w:rsidRPr="00585CC1">
        <w:t>(REACH</w:t>
      </w:r>
      <w:r w:rsidR="009F2FE7" w:rsidRPr="00585CC1">
        <w:t>)</w:t>
      </w:r>
      <w:r w:rsidRPr="00585CC1">
        <w:t>. Off</w:t>
      </w:r>
      <w:r w:rsidR="00585CC1">
        <w:t>.</w:t>
      </w:r>
      <w:r w:rsidRPr="00585CC1">
        <w:t xml:space="preserve"> J</w:t>
      </w:r>
      <w:r w:rsidR="00585CC1">
        <w:t>.</w:t>
      </w:r>
      <w:r w:rsidRPr="00585CC1">
        <w:t xml:space="preserve"> Eur</w:t>
      </w:r>
      <w:r w:rsidR="00585CC1">
        <w:t>.</w:t>
      </w:r>
      <w:r w:rsidRPr="00585CC1">
        <w:t xml:space="preserve"> Union L396, 1-849.</w:t>
      </w:r>
    </w:p>
    <w:p w:rsidR="00214462" w:rsidRDefault="00CC153D" w:rsidP="00E241DA">
      <w:pPr>
        <w:spacing w:after="0" w:line="480" w:lineRule="auto"/>
      </w:pPr>
      <w:r w:rsidRPr="00B35CC0">
        <w:t>E</w:t>
      </w:r>
      <w:r w:rsidR="00214462">
        <w:t>uropean Union</w:t>
      </w:r>
      <w:r w:rsidRPr="00B35CC0">
        <w:t xml:space="preserve">, 2007. Commission Directive 2007/42/EC of 29 June 2007 relating to materials and </w:t>
      </w:r>
    </w:p>
    <w:p w:rsidR="00CC153D" w:rsidRDefault="00CC153D" w:rsidP="00214462">
      <w:pPr>
        <w:spacing w:after="0" w:line="480" w:lineRule="auto"/>
        <w:ind w:left="720"/>
      </w:pPr>
      <w:r w:rsidRPr="00B35CC0">
        <w:t>articles made of regenerated cellulose film intended to come into contact with foodstuffs. Off</w:t>
      </w:r>
      <w:r w:rsidR="00214462">
        <w:t>.</w:t>
      </w:r>
      <w:r w:rsidRPr="00B35CC0">
        <w:t xml:space="preserve"> J</w:t>
      </w:r>
      <w:r w:rsidR="00214462">
        <w:t>.</w:t>
      </w:r>
      <w:r w:rsidRPr="00B35CC0">
        <w:t xml:space="preserve"> Eur</w:t>
      </w:r>
      <w:r w:rsidR="00214462">
        <w:t>.</w:t>
      </w:r>
      <w:r w:rsidRPr="00B35CC0">
        <w:t xml:space="preserve"> Union</w:t>
      </w:r>
      <w:r w:rsidR="00214462">
        <w:t xml:space="preserve"> L172, 71-82</w:t>
      </w:r>
      <w:r w:rsidRPr="00B35CC0">
        <w:t xml:space="preserve">. </w:t>
      </w:r>
    </w:p>
    <w:p w:rsidR="00056B49" w:rsidRDefault="00056B49" w:rsidP="00056B49">
      <w:pPr>
        <w:spacing w:after="0" w:line="480" w:lineRule="auto"/>
      </w:pPr>
      <w:r>
        <w:t>European Union</w:t>
      </w:r>
      <w:r w:rsidRPr="00B35CC0">
        <w:t xml:space="preserve">, 2008. Regulation (EC) No 282/2008 of the European Parliament and of the Council </w:t>
      </w:r>
    </w:p>
    <w:p w:rsidR="00056B49" w:rsidRDefault="00056B49" w:rsidP="00056B49">
      <w:pPr>
        <w:spacing w:after="0" w:line="480" w:lineRule="auto"/>
        <w:ind w:left="720"/>
      </w:pPr>
      <w:r w:rsidRPr="00B35CC0">
        <w:t>of 27 March 2008 on recycled plastic materials and articles intended to come into contact with foods</w:t>
      </w:r>
      <w:r w:rsidRPr="00493BC7">
        <w:t xml:space="preserve"> and amending Regulation (EC) No 2023/2006</w:t>
      </w:r>
      <w:r w:rsidRPr="00B35CC0">
        <w:t>. Off</w:t>
      </w:r>
      <w:r>
        <w:t>.</w:t>
      </w:r>
      <w:r w:rsidRPr="00B35CC0">
        <w:t xml:space="preserve"> J</w:t>
      </w:r>
      <w:r>
        <w:t>.</w:t>
      </w:r>
      <w:r w:rsidRPr="00B35CC0">
        <w:t xml:space="preserve"> Eur</w:t>
      </w:r>
      <w:r>
        <w:t>.</w:t>
      </w:r>
      <w:r w:rsidRPr="00B35CC0">
        <w:t xml:space="preserve"> Union</w:t>
      </w:r>
      <w:r>
        <w:t xml:space="preserve"> L86, 9-18</w:t>
      </w:r>
      <w:r w:rsidRPr="00B35CC0">
        <w:t xml:space="preserve">. </w:t>
      </w:r>
    </w:p>
    <w:p w:rsidR="00056B49" w:rsidRDefault="00056B49" w:rsidP="00056B49">
      <w:pPr>
        <w:spacing w:after="0" w:line="480" w:lineRule="auto"/>
      </w:pPr>
      <w:r>
        <w:t>European Union</w:t>
      </w:r>
      <w:r w:rsidRPr="00B35CC0">
        <w:t xml:space="preserve">, 2009. Regulation (EC) No 450/2009 of the European Parliament and of the Council </w:t>
      </w:r>
    </w:p>
    <w:p w:rsidR="00056B49" w:rsidRDefault="00056B49" w:rsidP="00056B49">
      <w:pPr>
        <w:spacing w:after="0" w:line="480" w:lineRule="auto"/>
        <w:ind w:left="720"/>
      </w:pPr>
      <w:r w:rsidRPr="00B35CC0">
        <w:t>of 29 May 2009 on active and intelligent materials and articles intended to come into contact with foods. Off</w:t>
      </w:r>
      <w:r>
        <w:t>.</w:t>
      </w:r>
      <w:r w:rsidRPr="00B35CC0">
        <w:t xml:space="preserve"> J</w:t>
      </w:r>
      <w:r>
        <w:t>.</w:t>
      </w:r>
      <w:r w:rsidRPr="00B35CC0">
        <w:t xml:space="preserve"> Eur</w:t>
      </w:r>
      <w:r>
        <w:t>.</w:t>
      </w:r>
      <w:r w:rsidRPr="00B35CC0">
        <w:t xml:space="preserve"> Union</w:t>
      </w:r>
      <w:r>
        <w:t xml:space="preserve"> L135, 3-11</w:t>
      </w:r>
      <w:r w:rsidRPr="00B35CC0">
        <w:t xml:space="preserve">. </w:t>
      </w:r>
    </w:p>
    <w:p w:rsidR="00056B49" w:rsidRDefault="00056B49" w:rsidP="00056B49">
      <w:pPr>
        <w:spacing w:after="0" w:line="480" w:lineRule="auto"/>
      </w:pPr>
      <w:r w:rsidRPr="00C77EB2">
        <w:lastRenderedPageBreak/>
        <w:t>E</w:t>
      </w:r>
      <w:r>
        <w:t xml:space="preserve">uropean Union, </w:t>
      </w:r>
      <w:r w:rsidRPr="00C77EB2">
        <w:t xml:space="preserve">2011. Regulation (EC) No 10/2011 of the European Parliament and of the Council of </w:t>
      </w:r>
    </w:p>
    <w:p w:rsidR="00056B49" w:rsidRDefault="00056B49" w:rsidP="00056B49">
      <w:pPr>
        <w:spacing w:after="0" w:line="480" w:lineRule="auto"/>
        <w:ind w:left="720"/>
        <w:rPr>
          <w:rStyle w:val="Hyperlink"/>
        </w:rPr>
      </w:pPr>
      <w:r w:rsidRPr="00C77EB2">
        <w:t>14 January 2011 on plastic materials and articles intended to come into contact with food. Off</w:t>
      </w:r>
      <w:r>
        <w:t>.</w:t>
      </w:r>
      <w:r w:rsidRPr="00C77EB2">
        <w:t xml:space="preserve"> J</w:t>
      </w:r>
      <w:r>
        <w:t>.</w:t>
      </w:r>
      <w:r w:rsidRPr="00C77EB2">
        <w:t xml:space="preserve"> Eur</w:t>
      </w:r>
      <w:r>
        <w:t>.</w:t>
      </w:r>
      <w:r w:rsidRPr="00C77EB2">
        <w:t xml:space="preserve"> Union</w:t>
      </w:r>
      <w:r>
        <w:t xml:space="preserve"> L12, 1-138</w:t>
      </w:r>
      <w:r w:rsidRPr="00C77EB2">
        <w:t xml:space="preserve">. </w:t>
      </w:r>
    </w:p>
    <w:p w:rsidR="00DF3C9A" w:rsidRDefault="00DF3C9A" w:rsidP="00DF3C9A">
      <w:pPr>
        <w:spacing w:after="0" w:line="480" w:lineRule="auto"/>
      </w:pPr>
      <w:r w:rsidRPr="00B35CC0">
        <w:t>E</w:t>
      </w:r>
      <w:r>
        <w:t>uropean Union</w:t>
      </w:r>
      <w:r w:rsidRPr="00B35CC0">
        <w:t xml:space="preserve">, 2012. Food Contact Materials – Specific provisions for materials other than plastics </w:t>
      </w:r>
    </w:p>
    <w:p w:rsidR="00DF3C9A" w:rsidRPr="003E468B" w:rsidRDefault="00DF3C9A" w:rsidP="00DF3C9A">
      <w:pPr>
        <w:spacing w:after="0" w:line="480" w:lineRule="auto"/>
        <w:ind w:left="720"/>
      </w:pPr>
      <w:r w:rsidRPr="00B35CC0">
        <w:t xml:space="preserve">– implementing measure (Roadmap). </w:t>
      </w:r>
      <w:r w:rsidRPr="00DF3C9A">
        <w:t xml:space="preserve">Available from: </w:t>
      </w:r>
      <w:r w:rsidR="009C3C61" w:rsidRPr="009C3C61">
        <w:t>http://ec.europa.eu/governance/impact/planned_ia/docs/2014_sanco_005_fcm_specific_provisions_for_materials_other_than_plastics_en.pdf</w:t>
      </w:r>
      <w:r>
        <w:t xml:space="preserve"> (</w:t>
      </w:r>
      <w:r w:rsidR="00585CC1">
        <w:t xml:space="preserve">last </w:t>
      </w:r>
      <w:r>
        <w:t>accessed 08.0</w:t>
      </w:r>
      <w:r w:rsidR="00585CC1">
        <w:t>6</w:t>
      </w:r>
      <w:r>
        <w:t>.16).</w:t>
      </w:r>
    </w:p>
    <w:p w:rsidR="00FC7013" w:rsidRDefault="00FC7013" w:rsidP="00FC7013">
      <w:pPr>
        <w:spacing w:after="0" w:line="480" w:lineRule="auto"/>
      </w:pPr>
      <w:r>
        <w:t>European Union, 2015</w:t>
      </w:r>
      <w:r w:rsidR="00F9212F">
        <w:t>a</w:t>
      </w:r>
      <w:r>
        <w:t>. Food Contact Materials brochure</w:t>
      </w:r>
      <w:r w:rsidRPr="00FC7013">
        <w:t xml:space="preserve">. Available from: </w:t>
      </w:r>
    </w:p>
    <w:p w:rsidR="00FC7013" w:rsidRDefault="009C3C61" w:rsidP="00FC7013">
      <w:pPr>
        <w:spacing w:after="0" w:line="480" w:lineRule="auto"/>
        <w:ind w:left="720"/>
      </w:pPr>
      <w:r w:rsidRPr="009C3C61">
        <w:t xml:space="preserve">http://ec.europa.eu/food/safety/docs/cs_fcm_brochure_en.pdf </w:t>
      </w:r>
      <w:r w:rsidR="00F9212F">
        <w:t>(</w:t>
      </w:r>
      <w:r w:rsidR="00585CC1">
        <w:t xml:space="preserve">last </w:t>
      </w:r>
      <w:r w:rsidR="00F9212F">
        <w:t>accessed</w:t>
      </w:r>
      <w:r w:rsidR="00FC7013" w:rsidRPr="00FC7013">
        <w:t xml:space="preserve"> 08.0</w:t>
      </w:r>
      <w:r w:rsidR="00585CC1">
        <w:t>6</w:t>
      </w:r>
      <w:r w:rsidR="00FC7013" w:rsidRPr="00FC7013">
        <w:t>.16).</w:t>
      </w:r>
    </w:p>
    <w:p w:rsidR="00F9212F" w:rsidRDefault="00F9212F" w:rsidP="00F9212F">
      <w:pPr>
        <w:spacing w:after="0" w:line="480" w:lineRule="auto"/>
      </w:pPr>
      <w:r w:rsidRPr="00B35CC0">
        <w:t>E</w:t>
      </w:r>
      <w:r>
        <w:t>uropean Union</w:t>
      </w:r>
      <w:r w:rsidRPr="00B35CC0">
        <w:t>, 2015</w:t>
      </w:r>
      <w:r>
        <w:t>b</w:t>
      </w:r>
      <w:r w:rsidRPr="00B35CC0">
        <w:t>. References of the European and national legislations</w:t>
      </w:r>
      <w:r>
        <w:t xml:space="preserve"> (Working document-</w:t>
      </w:r>
    </w:p>
    <w:p w:rsidR="00F9212F" w:rsidRDefault="00F9212F" w:rsidP="00F9212F">
      <w:pPr>
        <w:spacing w:after="0" w:line="480" w:lineRule="auto"/>
        <w:ind w:left="720"/>
      </w:pPr>
      <w:r>
        <w:t>Updated version February 2015</w:t>
      </w:r>
      <w:r w:rsidRPr="00F9212F">
        <w:t xml:space="preserve">). Available from: </w:t>
      </w:r>
      <w:r w:rsidR="009C3C61" w:rsidRPr="009C3C61">
        <w:t xml:space="preserve">http://ec.europa.eu/food/safety/docs/cs_fcm_non-harmonised.pdf </w:t>
      </w:r>
      <w:r w:rsidRPr="00F9212F">
        <w:t>(</w:t>
      </w:r>
      <w:r w:rsidR="00585CC1">
        <w:t xml:space="preserve">last </w:t>
      </w:r>
      <w:r w:rsidRPr="00F9212F">
        <w:t>accessed 08.0</w:t>
      </w:r>
      <w:r w:rsidR="00585CC1">
        <w:t>6</w:t>
      </w:r>
      <w:r w:rsidRPr="00F9212F">
        <w:t>.16).</w:t>
      </w:r>
    </w:p>
    <w:p w:rsidR="001128BF" w:rsidRDefault="001128BF" w:rsidP="00FA1E7C">
      <w:pPr>
        <w:spacing w:after="0" w:line="480" w:lineRule="auto"/>
      </w:pPr>
      <w:proofErr w:type="spellStart"/>
      <w:r w:rsidRPr="001128BF">
        <w:t>Geueke</w:t>
      </w:r>
      <w:proofErr w:type="spellEnd"/>
      <w:r w:rsidRPr="001128BF">
        <w:t xml:space="preserve">, B., Wagner, C.C., </w:t>
      </w:r>
      <w:proofErr w:type="spellStart"/>
      <w:r w:rsidRPr="001128BF">
        <w:t>Muncke</w:t>
      </w:r>
      <w:proofErr w:type="spellEnd"/>
      <w:r w:rsidRPr="001128BF">
        <w:t xml:space="preserve">, J., 2014. Food contact substances and chemicals of concern: a </w:t>
      </w:r>
    </w:p>
    <w:p w:rsidR="001128BF" w:rsidRDefault="001128BF" w:rsidP="001128BF">
      <w:pPr>
        <w:spacing w:after="0" w:line="480" w:lineRule="auto"/>
        <w:ind w:left="720"/>
      </w:pPr>
      <w:r w:rsidRPr="001128BF">
        <w:t xml:space="preserve">comparison of inventories. Food Add. </w:t>
      </w:r>
      <w:proofErr w:type="spellStart"/>
      <w:r w:rsidRPr="001128BF">
        <w:t>Contam</w:t>
      </w:r>
      <w:proofErr w:type="spellEnd"/>
      <w:r w:rsidRPr="001128BF">
        <w:t>. Part A. Chem. Anal. Control Expo. Risk Assess.</w:t>
      </w:r>
      <w:r>
        <w:t xml:space="preserve"> </w:t>
      </w:r>
      <w:r w:rsidRPr="001128BF">
        <w:t>31:8, 1438-1450.</w:t>
      </w:r>
    </w:p>
    <w:p w:rsidR="00FA1E7C" w:rsidRDefault="00FA1E7C" w:rsidP="00FA1E7C">
      <w:pPr>
        <w:spacing w:after="0" w:line="480" w:lineRule="auto"/>
      </w:pPr>
      <w:proofErr w:type="spellStart"/>
      <w:r w:rsidRPr="000868B8">
        <w:t>Ghose</w:t>
      </w:r>
      <w:proofErr w:type="spellEnd"/>
      <w:r>
        <w:t xml:space="preserve">, </w:t>
      </w:r>
      <w:r w:rsidRPr="00FA1E7C">
        <w:t>A</w:t>
      </w:r>
      <w:r>
        <w:t>.</w:t>
      </w:r>
      <w:r w:rsidRPr="00FA1E7C">
        <w:t>K</w:t>
      </w:r>
      <w:r>
        <w:t>.</w:t>
      </w:r>
      <w:r w:rsidRPr="00FA1E7C">
        <w:t xml:space="preserve">, </w:t>
      </w:r>
      <w:proofErr w:type="spellStart"/>
      <w:r w:rsidRPr="00FA1E7C">
        <w:t>Viswanadhan</w:t>
      </w:r>
      <w:proofErr w:type="spellEnd"/>
      <w:r>
        <w:t>,</w:t>
      </w:r>
      <w:r w:rsidRPr="00FA1E7C">
        <w:t xml:space="preserve"> V</w:t>
      </w:r>
      <w:r>
        <w:t>.</w:t>
      </w:r>
      <w:r w:rsidRPr="00FA1E7C">
        <w:t>N</w:t>
      </w:r>
      <w:r>
        <w:t>.</w:t>
      </w:r>
      <w:r w:rsidRPr="00FA1E7C">
        <w:t xml:space="preserve">, </w:t>
      </w:r>
      <w:proofErr w:type="spellStart"/>
      <w:r w:rsidRPr="00FA1E7C">
        <w:t>Wendoloski</w:t>
      </w:r>
      <w:proofErr w:type="spellEnd"/>
      <w:r>
        <w:t>,</w:t>
      </w:r>
      <w:r w:rsidRPr="00FA1E7C">
        <w:t xml:space="preserve"> J</w:t>
      </w:r>
      <w:r>
        <w:t>.</w:t>
      </w:r>
      <w:r w:rsidRPr="00FA1E7C">
        <w:t>J</w:t>
      </w:r>
      <w:r>
        <w:t>.,</w:t>
      </w:r>
      <w:r w:rsidRPr="00FA1E7C">
        <w:t xml:space="preserve"> 1999. A knowledge-based approach in designing </w:t>
      </w:r>
    </w:p>
    <w:p w:rsidR="00FA1E7C" w:rsidRPr="00FA1E7C" w:rsidRDefault="00FA1E7C" w:rsidP="00FA1E7C">
      <w:pPr>
        <w:spacing w:after="0" w:line="480" w:lineRule="auto"/>
        <w:ind w:left="720"/>
        <w:rPr>
          <w:lang w:val="nl-NL"/>
        </w:rPr>
      </w:pPr>
      <w:r w:rsidRPr="00FA1E7C">
        <w:t>combinatorial or medicinal chemistry libraries for drug discovery. 1. A qualitative and quantitative character</w:t>
      </w:r>
      <w:r>
        <w:t>ization of known drug databases</w:t>
      </w:r>
      <w:r w:rsidRPr="00FA1E7C">
        <w:t>. J</w:t>
      </w:r>
      <w:r>
        <w:t>.</w:t>
      </w:r>
      <w:r w:rsidRPr="00FA1E7C">
        <w:t xml:space="preserve"> Comb</w:t>
      </w:r>
      <w:r>
        <w:t>.</w:t>
      </w:r>
      <w:r w:rsidRPr="00FA1E7C">
        <w:t xml:space="preserve"> </w:t>
      </w:r>
      <w:proofErr w:type="spellStart"/>
      <w:r w:rsidRPr="00FA1E7C">
        <w:rPr>
          <w:lang w:val="nl-NL"/>
        </w:rPr>
        <w:t>Chem</w:t>
      </w:r>
      <w:proofErr w:type="spellEnd"/>
      <w:r w:rsidRPr="00FA1E7C">
        <w:rPr>
          <w:lang w:val="nl-NL"/>
        </w:rPr>
        <w:t xml:space="preserve">. 1, 55–68. </w:t>
      </w:r>
    </w:p>
    <w:p w:rsidR="00A33025" w:rsidRDefault="00A33025" w:rsidP="00A33025">
      <w:pPr>
        <w:spacing w:after="0" w:line="480" w:lineRule="auto"/>
      </w:pPr>
      <w:proofErr w:type="spellStart"/>
      <w:r w:rsidRPr="00DF3C9A">
        <w:rPr>
          <w:lang w:val="nl-NL"/>
        </w:rPr>
        <w:t>Grob</w:t>
      </w:r>
      <w:proofErr w:type="spellEnd"/>
      <w:r w:rsidRPr="00DF3C9A">
        <w:rPr>
          <w:lang w:val="nl-NL"/>
        </w:rPr>
        <w:t xml:space="preserve">, K., </w:t>
      </w:r>
      <w:proofErr w:type="spellStart"/>
      <w:r w:rsidRPr="00DF3C9A">
        <w:rPr>
          <w:lang w:val="nl-NL"/>
        </w:rPr>
        <w:t>Biedermann</w:t>
      </w:r>
      <w:proofErr w:type="spellEnd"/>
      <w:r w:rsidRPr="00DF3C9A">
        <w:rPr>
          <w:lang w:val="nl-NL"/>
        </w:rPr>
        <w:t xml:space="preserve">, M., </w:t>
      </w:r>
      <w:proofErr w:type="spellStart"/>
      <w:r w:rsidRPr="00DF3C9A">
        <w:rPr>
          <w:lang w:val="nl-NL"/>
        </w:rPr>
        <w:t>Scherbaum</w:t>
      </w:r>
      <w:proofErr w:type="spellEnd"/>
      <w:r w:rsidRPr="00DF3C9A">
        <w:rPr>
          <w:lang w:val="nl-NL"/>
        </w:rPr>
        <w:t xml:space="preserve">, E., Roth, M., </w:t>
      </w:r>
      <w:proofErr w:type="spellStart"/>
      <w:r w:rsidRPr="00DF3C9A">
        <w:rPr>
          <w:lang w:val="nl-NL"/>
        </w:rPr>
        <w:t>Rieger</w:t>
      </w:r>
      <w:proofErr w:type="spellEnd"/>
      <w:r w:rsidRPr="00DF3C9A">
        <w:rPr>
          <w:lang w:val="nl-NL"/>
        </w:rPr>
        <w:t xml:space="preserve">, K., 2006. </w:t>
      </w:r>
      <w:r w:rsidRPr="00C77EB2">
        <w:t xml:space="preserve">Food contamination with </w:t>
      </w:r>
    </w:p>
    <w:p w:rsidR="00A33025" w:rsidRPr="005D1629" w:rsidRDefault="00A33025" w:rsidP="00A33025">
      <w:pPr>
        <w:spacing w:after="0" w:line="480" w:lineRule="auto"/>
        <w:ind w:left="720"/>
        <w:rPr>
          <w:lang w:val="nl-BE"/>
        </w:rPr>
      </w:pPr>
      <w:r w:rsidRPr="00C77EB2">
        <w:t>organic materials in perspective: Packaging materials as the largest and least controlled source? A view focusing on the European situation</w:t>
      </w:r>
      <w:r>
        <w:t xml:space="preserve">. Cri. Rev. Food Sci. </w:t>
      </w:r>
      <w:proofErr w:type="spellStart"/>
      <w:r w:rsidRPr="005D1629">
        <w:rPr>
          <w:lang w:val="nl-BE"/>
        </w:rPr>
        <w:t>Nutr</w:t>
      </w:r>
      <w:proofErr w:type="spellEnd"/>
      <w:r w:rsidRPr="005D1629">
        <w:rPr>
          <w:lang w:val="nl-BE"/>
        </w:rPr>
        <w:t>. 46:7, 529-535.</w:t>
      </w:r>
    </w:p>
    <w:p w:rsidR="001128BF" w:rsidRDefault="001128BF" w:rsidP="001128BF">
      <w:pPr>
        <w:spacing w:after="0" w:line="480" w:lineRule="auto"/>
      </w:pPr>
      <w:proofErr w:type="spellStart"/>
      <w:r w:rsidRPr="005D1629">
        <w:rPr>
          <w:lang w:val="nl-BE"/>
        </w:rPr>
        <w:t>Hauder</w:t>
      </w:r>
      <w:proofErr w:type="spellEnd"/>
      <w:r w:rsidRPr="005D1629">
        <w:rPr>
          <w:lang w:val="nl-BE"/>
        </w:rPr>
        <w:t xml:space="preserve">, J., Benz, H., </w:t>
      </w:r>
      <w:proofErr w:type="spellStart"/>
      <w:r w:rsidRPr="005D1629">
        <w:rPr>
          <w:lang w:val="nl-BE"/>
        </w:rPr>
        <w:t>Rüter</w:t>
      </w:r>
      <w:proofErr w:type="spellEnd"/>
      <w:r w:rsidRPr="005D1629">
        <w:rPr>
          <w:lang w:val="nl-BE"/>
        </w:rPr>
        <w:t xml:space="preserve">, M., </w:t>
      </w:r>
      <w:proofErr w:type="spellStart"/>
      <w:r w:rsidRPr="005D1629">
        <w:rPr>
          <w:lang w:val="nl-BE"/>
        </w:rPr>
        <w:t>Piringer</w:t>
      </w:r>
      <w:proofErr w:type="spellEnd"/>
      <w:r w:rsidRPr="005D1629">
        <w:rPr>
          <w:lang w:val="nl-BE"/>
        </w:rPr>
        <w:t xml:space="preserve">, O.-G. 2013. </w:t>
      </w:r>
      <w:r w:rsidRPr="00D4362B">
        <w:t xml:space="preserve">The specific diffusion behaviour in paper and </w:t>
      </w:r>
    </w:p>
    <w:p w:rsidR="001128BF" w:rsidRPr="00D4362B" w:rsidRDefault="001128BF" w:rsidP="001128BF">
      <w:pPr>
        <w:spacing w:after="0" w:line="480" w:lineRule="auto"/>
        <w:ind w:left="720"/>
      </w:pPr>
      <w:r w:rsidRPr="00D4362B">
        <w:t>migration modelling from recycled board into dry foodstuffs.</w:t>
      </w:r>
      <w:r>
        <w:t xml:space="preserve"> Food </w:t>
      </w:r>
      <w:proofErr w:type="spellStart"/>
      <w:r>
        <w:t>Contam</w:t>
      </w:r>
      <w:proofErr w:type="spellEnd"/>
      <w:r>
        <w:t>. Add. Part A.</w:t>
      </w:r>
      <w:r w:rsidRPr="00DB6A0D">
        <w:t xml:space="preserve"> Chem. Anal. Control Expo. Risk Assess. </w:t>
      </w:r>
      <w:r w:rsidRPr="001128BF">
        <w:t>30:3, 599-611</w:t>
      </w:r>
      <w:r>
        <w:t>.</w:t>
      </w:r>
    </w:p>
    <w:p w:rsidR="00BB2313" w:rsidRPr="00585CC1" w:rsidRDefault="00BB2313" w:rsidP="00BB2313">
      <w:pPr>
        <w:spacing w:after="0" w:line="480" w:lineRule="auto"/>
      </w:pPr>
      <w:r w:rsidRPr="00585CC1">
        <w:t xml:space="preserve">Hearty, A., </w:t>
      </w:r>
      <w:proofErr w:type="spellStart"/>
      <w:r w:rsidRPr="00585CC1">
        <w:t>Gibney</w:t>
      </w:r>
      <w:proofErr w:type="spellEnd"/>
      <w:r w:rsidRPr="00585CC1">
        <w:t xml:space="preserve">, M.J., Vin, K., </w:t>
      </w:r>
      <w:proofErr w:type="spellStart"/>
      <w:r w:rsidRPr="00585CC1">
        <w:t>LeClercq</w:t>
      </w:r>
      <w:proofErr w:type="spellEnd"/>
      <w:r w:rsidRPr="00585CC1">
        <w:t xml:space="preserve">, C., Castle, L., </w:t>
      </w:r>
      <w:proofErr w:type="spellStart"/>
      <w:r w:rsidRPr="00585CC1">
        <w:t>O’Mahony</w:t>
      </w:r>
      <w:proofErr w:type="spellEnd"/>
      <w:r w:rsidRPr="00585CC1">
        <w:t xml:space="preserve">, C., </w:t>
      </w:r>
      <w:proofErr w:type="spellStart"/>
      <w:r w:rsidRPr="00585CC1">
        <w:t>Oldring</w:t>
      </w:r>
      <w:proofErr w:type="spellEnd"/>
      <w:r w:rsidRPr="00585CC1">
        <w:t>, P. K. T.,</w:t>
      </w:r>
    </w:p>
    <w:p w:rsidR="00BB2313" w:rsidRPr="00585CC1" w:rsidRDefault="00BB2313" w:rsidP="00BB2313">
      <w:pPr>
        <w:spacing w:after="0" w:line="480" w:lineRule="auto"/>
        <w:ind w:firstLine="720"/>
      </w:pPr>
      <w:proofErr w:type="spellStart"/>
      <w:r w:rsidRPr="00585CC1">
        <w:t>Volatier</w:t>
      </w:r>
      <w:proofErr w:type="spellEnd"/>
      <w:r w:rsidRPr="00585CC1">
        <w:t xml:space="preserve">, J. L., </w:t>
      </w:r>
      <w:proofErr w:type="spellStart"/>
      <w:r w:rsidRPr="00585CC1">
        <w:t>Mckevitt</w:t>
      </w:r>
      <w:proofErr w:type="spellEnd"/>
      <w:r w:rsidRPr="00585CC1">
        <w:t xml:space="preserve">, A., Tennant, D., </w:t>
      </w:r>
      <w:proofErr w:type="spellStart"/>
      <w:r w:rsidRPr="00585CC1">
        <w:t>McCamara</w:t>
      </w:r>
      <w:proofErr w:type="spellEnd"/>
      <w:r w:rsidRPr="00585CC1">
        <w:t xml:space="preserve">, C., </w:t>
      </w:r>
      <w:proofErr w:type="spellStart"/>
      <w:r w:rsidRPr="00585CC1">
        <w:t>Kettlitz</w:t>
      </w:r>
      <w:proofErr w:type="spellEnd"/>
      <w:r w:rsidRPr="00585CC1">
        <w:t>, B. 2011. The FACET</w:t>
      </w:r>
    </w:p>
    <w:p w:rsidR="00BB2313" w:rsidRDefault="00BB2313" w:rsidP="00DB402B">
      <w:pPr>
        <w:spacing w:after="0" w:line="480" w:lineRule="auto"/>
        <w:ind w:firstLine="720"/>
      </w:pPr>
      <w:r w:rsidRPr="00585CC1">
        <w:lastRenderedPageBreak/>
        <w:t xml:space="preserve">project: a chemical exposure surveillance system for Europe. </w:t>
      </w:r>
      <w:r w:rsidR="00DB402B" w:rsidRPr="00585CC1">
        <w:t>F</w:t>
      </w:r>
      <w:r w:rsidR="00585CC1">
        <w:t>ood</w:t>
      </w:r>
      <w:r w:rsidR="00DB402B" w:rsidRPr="00585CC1">
        <w:t xml:space="preserve"> Sci. Technol.</w:t>
      </w:r>
      <w:r w:rsidRPr="00585CC1">
        <w:t xml:space="preserve"> 25, 26-29.</w:t>
      </w:r>
    </w:p>
    <w:p w:rsidR="00D46561" w:rsidRDefault="00AC2A66" w:rsidP="00D46561">
      <w:pPr>
        <w:spacing w:after="0" w:line="480" w:lineRule="auto"/>
      </w:pPr>
      <w:proofErr w:type="spellStart"/>
      <w:r w:rsidRPr="00AC2A66">
        <w:t>Lago</w:t>
      </w:r>
      <w:proofErr w:type="spellEnd"/>
      <w:r w:rsidR="00D46561">
        <w:t>,</w:t>
      </w:r>
      <w:r w:rsidR="00D46561" w:rsidRPr="00D46561">
        <w:t xml:space="preserve"> </w:t>
      </w:r>
      <w:r w:rsidR="00D46561">
        <w:t>M.A., Rodríguez-</w:t>
      </w:r>
      <w:proofErr w:type="spellStart"/>
      <w:r w:rsidR="00D46561">
        <w:t>Bernaldo</w:t>
      </w:r>
      <w:proofErr w:type="spellEnd"/>
      <w:r w:rsidR="00D46561">
        <w:t xml:space="preserve"> de </w:t>
      </w:r>
      <w:proofErr w:type="spellStart"/>
      <w:r w:rsidR="00D46561">
        <w:t>Quirós</w:t>
      </w:r>
      <w:proofErr w:type="spellEnd"/>
      <w:r w:rsidR="00D46561">
        <w:t xml:space="preserve">, A., </w:t>
      </w:r>
      <w:proofErr w:type="spellStart"/>
      <w:r w:rsidR="00D46561">
        <w:t>Sendón</w:t>
      </w:r>
      <w:proofErr w:type="spellEnd"/>
      <w:r w:rsidR="00D46561">
        <w:t xml:space="preserve">, R., </w:t>
      </w:r>
      <w:proofErr w:type="spellStart"/>
      <w:r w:rsidR="00D46561" w:rsidRPr="00D46561">
        <w:t>Bustos</w:t>
      </w:r>
      <w:proofErr w:type="spellEnd"/>
      <w:r w:rsidR="00D46561" w:rsidRPr="00D46561">
        <w:t xml:space="preserve">, J., Nieto, M.T., </w:t>
      </w:r>
      <w:proofErr w:type="spellStart"/>
      <w:r w:rsidR="00D46561" w:rsidRPr="00D46561">
        <w:t>Paseiro</w:t>
      </w:r>
      <w:proofErr w:type="spellEnd"/>
      <w:r w:rsidR="00D46561" w:rsidRPr="00D46561">
        <w:t>, P.,</w:t>
      </w:r>
      <w:r w:rsidRPr="00D46561">
        <w:t xml:space="preserve"> 2015. </w:t>
      </w:r>
    </w:p>
    <w:p w:rsidR="00AC2A66" w:rsidRPr="00AC2A66" w:rsidRDefault="00AC2A66" w:rsidP="001B7F36">
      <w:pPr>
        <w:spacing w:after="0" w:line="480" w:lineRule="auto"/>
        <w:ind w:left="720"/>
      </w:pPr>
      <w:proofErr w:type="spellStart"/>
      <w:r w:rsidRPr="00AC2A66">
        <w:t>Photoinitiators</w:t>
      </w:r>
      <w:proofErr w:type="spellEnd"/>
      <w:r w:rsidRPr="00AC2A66">
        <w:t>: a food safety review</w:t>
      </w:r>
      <w:r w:rsidR="00D46561">
        <w:t xml:space="preserve">. </w:t>
      </w:r>
      <w:r w:rsidR="001B7F36">
        <w:t>Food</w:t>
      </w:r>
      <w:r w:rsidR="00D46561">
        <w:t xml:space="preserve"> Add. </w:t>
      </w:r>
      <w:proofErr w:type="spellStart"/>
      <w:r w:rsidR="00D46561">
        <w:t>Contam</w:t>
      </w:r>
      <w:proofErr w:type="spellEnd"/>
      <w:r w:rsidR="00D46561">
        <w:t xml:space="preserve">. Part A. </w:t>
      </w:r>
      <w:r w:rsidR="001B7F36">
        <w:t xml:space="preserve">Chem. Anal. Control Expo. Risk Assess. </w:t>
      </w:r>
      <w:r w:rsidR="00D46561">
        <w:t>32:5, 779-798.</w:t>
      </w:r>
      <w:r w:rsidRPr="00AC2A66">
        <w:t xml:space="preserve"> </w:t>
      </w:r>
    </w:p>
    <w:p w:rsidR="00B02D00" w:rsidRDefault="00AC2A66" w:rsidP="00AC2A66">
      <w:pPr>
        <w:spacing w:after="0" w:line="480" w:lineRule="auto"/>
      </w:pPr>
      <w:proofErr w:type="spellStart"/>
      <w:r w:rsidRPr="00AC2A66">
        <w:t>Leks-Stepien</w:t>
      </w:r>
      <w:proofErr w:type="spellEnd"/>
      <w:r w:rsidRPr="00AC2A66">
        <w:t>,</w:t>
      </w:r>
      <w:r w:rsidR="00D46561">
        <w:t xml:space="preserve"> J.,</w:t>
      </w:r>
      <w:r w:rsidR="00B02D00">
        <w:t xml:space="preserve"> 2011</w:t>
      </w:r>
      <w:r w:rsidRPr="00AC2A66">
        <w:t>. Paper packaging materials and food safety</w:t>
      </w:r>
      <w:r w:rsidR="00D46561">
        <w:t xml:space="preserve">. </w:t>
      </w:r>
      <w:proofErr w:type="spellStart"/>
      <w:r w:rsidR="00B02D00" w:rsidRPr="00B02D00">
        <w:t>Int</w:t>
      </w:r>
      <w:proofErr w:type="spellEnd"/>
      <w:r w:rsidR="00B02D00" w:rsidRPr="00B02D00">
        <w:t xml:space="preserve"> </w:t>
      </w:r>
      <w:proofErr w:type="spellStart"/>
      <w:r w:rsidR="00B02D00" w:rsidRPr="00B02D00">
        <w:t>Circ</w:t>
      </w:r>
      <w:proofErr w:type="spellEnd"/>
      <w:r w:rsidR="00B02D00" w:rsidRPr="00B02D00">
        <w:t xml:space="preserve"> </w:t>
      </w:r>
      <w:proofErr w:type="spellStart"/>
      <w:r w:rsidR="00B02D00" w:rsidRPr="00B02D00">
        <w:t>Educ</w:t>
      </w:r>
      <w:proofErr w:type="spellEnd"/>
      <w:r w:rsidR="00B02D00" w:rsidRPr="00B02D00">
        <w:t xml:space="preserve"> </w:t>
      </w:r>
      <w:proofErr w:type="spellStart"/>
      <w:r w:rsidR="00B02D00" w:rsidRPr="00B02D00">
        <w:t>In</w:t>
      </w:r>
      <w:r w:rsidR="00B02D00">
        <w:t>st</w:t>
      </w:r>
      <w:proofErr w:type="spellEnd"/>
      <w:r w:rsidR="00B02D00">
        <w:t xml:space="preserve"> Graph Arts: </w:t>
      </w:r>
    </w:p>
    <w:p w:rsidR="00AC2A66" w:rsidRDefault="00B02D00" w:rsidP="00AC2A66">
      <w:pPr>
        <w:spacing w:after="0" w:line="480" w:lineRule="auto"/>
      </w:pPr>
      <w:r>
        <w:tab/>
      </w:r>
      <w:proofErr w:type="spellStart"/>
      <w:r>
        <w:t>Technol</w:t>
      </w:r>
      <w:proofErr w:type="spellEnd"/>
      <w:r>
        <w:t xml:space="preserve"> </w:t>
      </w:r>
      <w:proofErr w:type="spellStart"/>
      <w:r>
        <w:t>Manag</w:t>
      </w:r>
      <w:proofErr w:type="spellEnd"/>
      <w:r>
        <w:t xml:space="preserve">. 4, </w:t>
      </w:r>
      <w:r w:rsidRPr="00B02D00">
        <w:t>49–51.</w:t>
      </w:r>
    </w:p>
    <w:p w:rsidR="008E10AC" w:rsidRDefault="008E10AC" w:rsidP="008E10AC">
      <w:pPr>
        <w:spacing w:after="0" w:line="480" w:lineRule="auto"/>
      </w:pPr>
      <w:r w:rsidRPr="00C16471">
        <w:t xml:space="preserve">Lipinski, C.A., Lombardo, F., </w:t>
      </w:r>
      <w:proofErr w:type="spellStart"/>
      <w:r w:rsidRPr="00C16471">
        <w:t>Dominy</w:t>
      </w:r>
      <w:proofErr w:type="spellEnd"/>
      <w:r>
        <w:t>, B.W.</w:t>
      </w:r>
      <w:r w:rsidRPr="00C16471">
        <w:t>, Feeney</w:t>
      </w:r>
      <w:r>
        <w:t>, P.J.,</w:t>
      </w:r>
      <w:r w:rsidRPr="00C16471">
        <w:t xml:space="preserve"> 1997. </w:t>
      </w:r>
      <w:r w:rsidRPr="004A6297">
        <w:t xml:space="preserve">Experimental and computational </w:t>
      </w:r>
    </w:p>
    <w:p w:rsidR="008E10AC" w:rsidRPr="00EA2559" w:rsidRDefault="008E10AC" w:rsidP="008E10AC">
      <w:pPr>
        <w:spacing w:after="0" w:line="480" w:lineRule="auto"/>
        <w:ind w:left="720"/>
      </w:pPr>
      <w:r w:rsidRPr="004A6297">
        <w:t>approaches to estimate solubility and permeability in drug discovery and development settings</w:t>
      </w:r>
      <w:r>
        <w:t xml:space="preserve">. </w:t>
      </w:r>
      <w:r w:rsidRPr="00EA2559">
        <w:t>Adv. Drug Deliv. Rev. 23, 3-25.</w:t>
      </w:r>
    </w:p>
    <w:p w:rsidR="00ED4172" w:rsidRDefault="00ED4172" w:rsidP="00ED4172">
      <w:pPr>
        <w:spacing w:after="0" w:line="480" w:lineRule="auto"/>
      </w:pPr>
      <w:r>
        <w:t>National Institutes of Health, 2016.</w:t>
      </w:r>
      <w:r w:rsidRPr="000F77F5">
        <w:t xml:space="preserve"> </w:t>
      </w:r>
      <w:proofErr w:type="spellStart"/>
      <w:r w:rsidRPr="000F77F5">
        <w:t>ChemIDplus</w:t>
      </w:r>
      <w:proofErr w:type="spellEnd"/>
      <w:r>
        <w:t xml:space="preserve"> Database</w:t>
      </w:r>
      <w:r w:rsidRPr="000F77F5">
        <w:t xml:space="preserve">. </w:t>
      </w:r>
      <w:r w:rsidRPr="00CB335E">
        <w:t xml:space="preserve">Available from: </w:t>
      </w:r>
    </w:p>
    <w:p w:rsidR="00ED4172" w:rsidRPr="00CB335E" w:rsidRDefault="00ED4172" w:rsidP="00ED4172">
      <w:pPr>
        <w:spacing w:after="0" w:line="480" w:lineRule="auto"/>
      </w:pPr>
      <w:r>
        <w:tab/>
      </w:r>
      <w:hyperlink r:id="rId18" w:history="1">
        <w:r w:rsidRPr="00E70403">
          <w:rPr>
            <w:rStyle w:val="Hyperlink"/>
          </w:rPr>
          <w:t>http://chem.sis.nlm.nih.gov/chemidplus/</w:t>
        </w:r>
      </w:hyperlink>
      <w:r>
        <w:t xml:space="preserve"> (last accessed 14.03.16).</w:t>
      </w:r>
    </w:p>
    <w:p w:rsidR="00FE6D0F" w:rsidRDefault="00FE6D0F" w:rsidP="00FE6D0F">
      <w:pPr>
        <w:spacing w:after="0" w:line="480" w:lineRule="auto"/>
      </w:pPr>
      <w:proofErr w:type="spellStart"/>
      <w:r w:rsidRPr="00FE6D0F">
        <w:rPr>
          <w:lang w:val="nl-NL"/>
        </w:rPr>
        <w:t>Nerin</w:t>
      </w:r>
      <w:proofErr w:type="spellEnd"/>
      <w:r>
        <w:rPr>
          <w:lang w:val="nl-NL"/>
        </w:rPr>
        <w:t>,</w:t>
      </w:r>
      <w:r w:rsidRPr="00FE6D0F">
        <w:rPr>
          <w:lang w:val="nl-NL"/>
        </w:rPr>
        <w:t xml:space="preserve"> C., </w:t>
      </w:r>
      <w:proofErr w:type="spellStart"/>
      <w:r w:rsidRPr="00FE6D0F">
        <w:rPr>
          <w:lang w:val="nl-NL"/>
        </w:rPr>
        <w:t>Alfaro</w:t>
      </w:r>
      <w:proofErr w:type="spellEnd"/>
      <w:r w:rsidRPr="00FE6D0F">
        <w:rPr>
          <w:lang w:val="nl-NL"/>
        </w:rPr>
        <w:t>,</w:t>
      </w:r>
      <w:r>
        <w:rPr>
          <w:lang w:val="nl-NL"/>
        </w:rPr>
        <w:t xml:space="preserve"> P.,</w:t>
      </w:r>
      <w:r w:rsidRPr="00FE6D0F">
        <w:rPr>
          <w:lang w:val="nl-NL"/>
        </w:rPr>
        <w:t xml:space="preserve"> </w:t>
      </w:r>
      <w:proofErr w:type="spellStart"/>
      <w:r w:rsidRPr="00FE6D0F">
        <w:rPr>
          <w:lang w:val="nl-NL"/>
        </w:rPr>
        <w:t>Aznar</w:t>
      </w:r>
      <w:proofErr w:type="spellEnd"/>
      <w:r>
        <w:rPr>
          <w:lang w:val="nl-NL"/>
        </w:rPr>
        <w:t>, M.,</w:t>
      </w:r>
      <w:r w:rsidRPr="00FE6D0F">
        <w:rPr>
          <w:lang w:val="nl-NL"/>
        </w:rPr>
        <w:t xml:space="preserve"> </w:t>
      </w:r>
      <w:proofErr w:type="spellStart"/>
      <w:r w:rsidRPr="00FE6D0F">
        <w:rPr>
          <w:lang w:val="nl-NL"/>
        </w:rPr>
        <w:t>Domeno</w:t>
      </w:r>
      <w:proofErr w:type="spellEnd"/>
      <w:r>
        <w:rPr>
          <w:lang w:val="nl-NL"/>
        </w:rPr>
        <w:t>, C.,</w:t>
      </w:r>
      <w:r w:rsidRPr="00FE6D0F">
        <w:rPr>
          <w:lang w:val="nl-NL"/>
        </w:rPr>
        <w:t xml:space="preserve"> 2013. </w:t>
      </w:r>
      <w:r w:rsidRPr="002B0499">
        <w:t xml:space="preserve">The challenge of identifying non-intentionally </w:t>
      </w:r>
    </w:p>
    <w:p w:rsidR="00FE6D0F" w:rsidRDefault="00FE6D0F" w:rsidP="00FE6D0F">
      <w:pPr>
        <w:spacing w:after="0" w:line="480" w:lineRule="auto"/>
      </w:pPr>
      <w:r>
        <w:tab/>
      </w:r>
      <w:r w:rsidRPr="002B0499">
        <w:t>added substances from food packaging materials: A review</w:t>
      </w:r>
      <w:r>
        <w:t xml:space="preserve">. Anal. </w:t>
      </w:r>
      <w:proofErr w:type="spellStart"/>
      <w:r>
        <w:t>Chim</w:t>
      </w:r>
      <w:proofErr w:type="spellEnd"/>
      <w:r>
        <w:t xml:space="preserve">. </w:t>
      </w:r>
      <w:proofErr w:type="spellStart"/>
      <w:r>
        <w:t>Acta</w:t>
      </w:r>
      <w:proofErr w:type="spellEnd"/>
      <w:r>
        <w:t xml:space="preserve">. </w:t>
      </w:r>
      <w:r w:rsidRPr="00FE6D0F">
        <w:t>775</w:t>
      </w:r>
      <w:r>
        <w:t>,</w:t>
      </w:r>
      <w:r w:rsidRPr="00FE6D0F">
        <w:t xml:space="preserve"> 14– 24</w:t>
      </w:r>
      <w:r>
        <w:t>.</w:t>
      </w:r>
    </w:p>
    <w:p w:rsidR="008C76A5" w:rsidRPr="00EA5046" w:rsidRDefault="008C76A5" w:rsidP="008C76A5">
      <w:pPr>
        <w:spacing w:after="0" w:line="480" w:lineRule="auto"/>
        <w:rPr>
          <w:rStyle w:val="Hyperlink"/>
          <w:color w:val="auto"/>
          <w:u w:val="none"/>
        </w:rPr>
      </w:pPr>
      <w:r>
        <w:rPr>
          <w:rStyle w:val="Hyperlink"/>
          <w:color w:val="auto"/>
          <w:u w:val="none"/>
        </w:rPr>
        <w:t xml:space="preserve">Nestlé, 2014. Nestlé guidance note on packaging inks. </w:t>
      </w:r>
    </w:p>
    <w:p w:rsidR="00ED4172" w:rsidRDefault="00ED4172" w:rsidP="00ED4172">
      <w:pPr>
        <w:spacing w:after="0" w:line="480" w:lineRule="auto"/>
      </w:pPr>
      <w:r w:rsidRPr="000B2161">
        <w:t>Royal Society of Chemistry</w:t>
      </w:r>
      <w:r>
        <w:t>, 2016</w:t>
      </w:r>
      <w:r w:rsidRPr="000F77F5">
        <w:t xml:space="preserve">. </w:t>
      </w:r>
      <w:proofErr w:type="spellStart"/>
      <w:r>
        <w:t>ChemSpider</w:t>
      </w:r>
      <w:proofErr w:type="spellEnd"/>
      <w:r>
        <w:t xml:space="preserve"> Database. </w:t>
      </w:r>
      <w:r w:rsidRPr="000F77F5">
        <w:t xml:space="preserve">Available from: </w:t>
      </w:r>
    </w:p>
    <w:p w:rsidR="00ED4172" w:rsidRDefault="00ED4172" w:rsidP="00ED4172">
      <w:pPr>
        <w:spacing w:after="0" w:line="480" w:lineRule="auto"/>
      </w:pPr>
      <w:r>
        <w:tab/>
        <w:t>http:</w:t>
      </w:r>
      <w:r w:rsidRPr="00C76D17">
        <w:t>//</w:t>
      </w:r>
      <w:hyperlink r:id="rId19" w:history="1">
        <w:r w:rsidRPr="00C76D17">
          <w:rPr>
            <w:rStyle w:val="Hyperlink"/>
            <w:color w:val="auto"/>
            <w:u w:val="none"/>
          </w:rPr>
          <w:t>www.chemspider.com</w:t>
        </w:r>
      </w:hyperlink>
      <w:r w:rsidRPr="00C76D17">
        <w:t>/</w:t>
      </w:r>
      <w:r w:rsidR="005005D3">
        <w:t xml:space="preserve"> </w:t>
      </w:r>
      <w:r>
        <w:t>(last accessed 14.03.16).</w:t>
      </w:r>
    </w:p>
    <w:p w:rsidR="008E10AC" w:rsidRDefault="008E10AC" w:rsidP="008E10AC">
      <w:pPr>
        <w:spacing w:after="0" w:line="480" w:lineRule="auto"/>
      </w:pPr>
      <w:proofErr w:type="spellStart"/>
      <w:r w:rsidRPr="000B2161">
        <w:t>Schilter</w:t>
      </w:r>
      <w:proofErr w:type="spellEnd"/>
      <w:r>
        <w:t xml:space="preserve">, B., </w:t>
      </w:r>
      <w:proofErr w:type="spellStart"/>
      <w:r>
        <w:t>Benigni</w:t>
      </w:r>
      <w:proofErr w:type="spellEnd"/>
      <w:r>
        <w:t xml:space="preserve">, R., </w:t>
      </w:r>
      <w:proofErr w:type="spellStart"/>
      <w:r>
        <w:t>Boobis</w:t>
      </w:r>
      <w:proofErr w:type="spellEnd"/>
      <w:r>
        <w:t xml:space="preserve">, A., </w:t>
      </w:r>
      <w:proofErr w:type="spellStart"/>
      <w:r>
        <w:t>Chiodini</w:t>
      </w:r>
      <w:proofErr w:type="spellEnd"/>
      <w:r>
        <w:t xml:space="preserve">, A., Cockburn, A., Cronin, M.T.D, Lo </w:t>
      </w:r>
      <w:proofErr w:type="spellStart"/>
      <w:r>
        <w:t>Piparo</w:t>
      </w:r>
      <w:proofErr w:type="spellEnd"/>
      <w:r>
        <w:t xml:space="preserve">, E., </w:t>
      </w:r>
      <w:proofErr w:type="spellStart"/>
      <w:r>
        <w:t>Modi</w:t>
      </w:r>
      <w:proofErr w:type="spellEnd"/>
      <w:r>
        <w:t xml:space="preserve">, S., </w:t>
      </w:r>
    </w:p>
    <w:p w:rsidR="008E10AC" w:rsidRDefault="008E10AC" w:rsidP="008E10AC">
      <w:pPr>
        <w:spacing w:after="0" w:line="480" w:lineRule="auto"/>
        <w:ind w:left="720"/>
      </w:pPr>
      <w:proofErr w:type="spellStart"/>
      <w:r>
        <w:t>Thiel</w:t>
      </w:r>
      <w:proofErr w:type="spellEnd"/>
      <w:r>
        <w:t>, A., Worth, A.</w:t>
      </w:r>
      <w:r w:rsidRPr="000B2161">
        <w:t>, 2013. Establishing the level of safety concern for chemicals in food without the need for toxicity testing</w:t>
      </w:r>
      <w:r>
        <w:t xml:space="preserve">. Reg. </w:t>
      </w:r>
      <w:proofErr w:type="spellStart"/>
      <w:r>
        <w:t>Tox</w:t>
      </w:r>
      <w:proofErr w:type="spellEnd"/>
      <w:r>
        <w:t>. Pharm. 68, 275-296.</w:t>
      </w:r>
    </w:p>
    <w:p w:rsidR="008C76A5" w:rsidRDefault="008C76A5" w:rsidP="008C76A5">
      <w:pPr>
        <w:spacing w:after="0" w:line="480" w:lineRule="auto"/>
      </w:pPr>
      <w:proofErr w:type="spellStart"/>
      <w:r w:rsidRPr="000B3B45">
        <w:t>Seltenrich</w:t>
      </w:r>
      <w:proofErr w:type="spellEnd"/>
      <w:r w:rsidRPr="000B3B45">
        <w:t>,</w:t>
      </w:r>
      <w:r>
        <w:t xml:space="preserve"> N.,</w:t>
      </w:r>
      <w:r w:rsidRPr="000B3B45">
        <w:t xml:space="preserve"> 2015.</w:t>
      </w:r>
      <w:r>
        <w:t xml:space="preserve"> </w:t>
      </w:r>
      <w:r w:rsidRPr="000B3B45">
        <w:t>A Hard Nut to Crack: Reducing Chemical Migration in Food-Contact Materials</w:t>
      </w:r>
      <w:r>
        <w:t xml:space="preserve">. </w:t>
      </w:r>
    </w:p>
    <w:p w:rsidR="008C76A5" w:rsidRDefault="008C76A5" w:rsidP="008C76A5">
      <w:pPr>
        <w:spacing w:after="0" w:line="480" w:lineRule="auto"/>
      </w:pPr>
      <w:r>
        <w:tab/>
        <w:t xml:space="preserve">Environ. Health. </w:t>
      </w:r>
      <w:proofErr w:type="spellStart"/>
      <w:r>
        <w:t>Perspect</w:t>
      </w:r>
      <w:proofErr w:type="spellEnd"/>
      <w:r>
        <w:t xml:space="preserve">. 123, A174–A179. </w:t>
      </w:r>
    </w:p>
    <w:p w:rsidR="00B02D00" w:rsidRDefault="008E0BA6" w:rsidP="008E0BA6">
      <w:pPr>
        <w:spacing w:after="0" w:line="480" w:lineRule="auto"/>
      </w:pPr>
      <w:r w:rsidRPr="008E0BA6">
        <w:t xml:space="preserve">Swiss Confederation, 2005. Ordinance of the FDHA on articles and materials of 23 November 2005 </w:t>
      </w:r>
    </w:p>
    <w:p w:rsidR="008E0BA6" w:rsidRDefault="008E0BA6" w:rsidP="009C3C61">
      <w:pPr>
        <w:spacing w:after="0" w:line="480" w:lineRule="auto"/>
        <w:ind w:left="720"/>
      </w:pPr>
      <w:r w:rsidRPr="008E0BA6">
        <w:t xml:space="preserve">(RS 817.023.21). </w:t>
      </w:r>
      <w:r w:rsidR="009C3C61">
        <w:t xml:space="preserve">Available from: </w:t>
      </w:r>
      <w:hyperlink r:id="rId20" w:history="1">
        <w:r w:rsidR="009C3C61" w:rsidRPr="00E70403">
          <w:rPr>
            <w:rStyle w:val="Hyperlink"/>
          </w:rPr>
          <w:t>https://www.admin.ch/opc/fr/classified-compilation/20050179/201304010000/817.023.21.pdf</w:t>
        </w:r>
      </w:hyperlink>
      <w:r w:rsidR="009C3C61">
        <w:t xml:space="preserve"> (</w:t>
      </w:r>
      <w:r w:rsidR="00ED4172">
        <w:t>last accessed 08.06</w:t>
      </w:r>
      <w:r w:rsidR="009C3C61">
        <w:t>.16).</w:t>
      </w:r>
    </w:p>
    <w:p w:rsidR="00FA1E7C" w:rsidRDefault="00FA1E7C" w:rsidP="00FA1E7C">
      <w:pPr>
        <w:spacing w:after="0" w:line="480" w:lineRule="auto"/>
      </w:pPr>
      <w:proofErr w:type="spellStart"/>
      <w:r w:rsidRPr="000868B8">
        <w:t>Veber</w:t>
      </w:r>
      <w:proofErr w:type="spellEnd"/>
      <w:r>
        <w:t>,</w:t>
      </w:r>
      <w:r w:rsidRPr="00FA1E7C">
        <w:t xml:space="preserve"> D</w:t>
      </w:r>
      <w:r>
        <w:t>.</w:t>
      </w:r>
      <w:r w:rsidRPr="00FA1E7C">
        <w:t>F</w:t>
      </w:r>
      <w:r>
        <w:t>.</w:t>
      </w:r>
      <w:r w:rsidRPr="00FA1E7C">
        <w:t>, Johnson</w:t>
      </w:r>
      <w:r>
        <w:t>,</w:t>
      </w:r>
      <w:r w:rsidRPr="00FA1E7C">
        <w:t xml:space="preserve"> S</w:t>
      </w:r>
      <w:r>
        <w:t>.</w:t>
      </w:r>
      <w:r w:rsidRPr="00FA1E7C">
        <w:t>R</w:t>
      </w:r>
      <w:r>
        <w:t>.</w:t>
      </w:r>
      <w:r w:rsidRPr="00FA1E7C">
        <w:t>, Cheng</w:t>
      </w:r>
      <w:r>
        <w:t>,</w:t>
      </w:r>
      <w:r w:rsidRPr="00FA1E7C">
        <w:t xml:space="preserve"> H</w:t>
      </w:r>
      <w:r>
        <w:t>.</w:t>
      </w:r>
      <w:r w:rsidRPr="00FA1E7C">
        <w:t>Y</w:t>
      </w:r>
      <w:r>
        <w:t>.</w:t>
      </w:r>
      <w:r w:rsidRPr="00FA1E7C">
        <w:t>, Smith</w:t>
      </w:r>
      <w:r>
        <w:t>,</w:t>
      </w:r>
      <w:r w:rsidRPr="00FA1E7C">
        <w:t xml:space="preserve"> B</w:t>
      </w:r>
      <w:r>
        <w:t>.</w:t>
      </w:r>
      <w:r w:rsidRPr="00FA1E7C">
        <w:t>R</w:t>
      </w:r>
      <w:r>
        <w:t>.</w:t>
      </w:r>
      <w:r w:rsidRPr="00FA1E7C">
        <w:t>, Ward</w:t>
      </w:r>
      <w:r>
        <w:t>,</w:t>
      </w:r>
      <w:r w:rsidRPr="00FA1E7C">
        <w:t xml:space="preserve"> K</w:t>
      </w:r>
      <w:r>
        <w:t>.</w:t>
      </w:r>
      <w:r w:rsidRPr="00FA1E7C">
        <w:t>W</w:t>
      </w:r>
      <w:r>
        <w:t>.</w:t>
      </w:r>
      <w:r w:rsidRPr="00FA1E7C">
        <w:t xml:space="preserve">, </w:t>
      </w:r>
      <w:proofErr w:type="spellStart"/>
      <w:r w:rsidRPr="00FA1E7C">
        <w:t>Kopple</w:t>
      </w:r>
      <w:proofErr w:type="spellEnd"/>
      <w:r>
        <w:t>,</w:t>
      </w:r>
      <w:r w:rsidRPr="00FA1E7C">
        <w:t xml:space="preserve"> K</w:t>
      </w:r>
      <w:r>
        <w:t>.</w:t>
      </w:r>
      <w:r w:rsidRPr="00FA1E7C">
        <w:t>D</w:t>
      </w:r>
      <w:r>
        <w:t>.,</w:t>
      </w:r>
      <w:r w:rsidRPr="00FA1E7C">
        <w:t xml:space="preserve"> </w:t>
      </w:r>
      <w:r w:rsidRPr="000868B8">
        <w:t>2002</w:t>
      </w:r>
      <w:r>
        <w:t xml:space="preserve">. </w:t>
      </w:r>
      <w:r w:rsidRPr="000868B8">
        <w:t xml:space="preserve">Molecular </w:t>
      </w:r>
    </w:p>
    <w:p w:rsidR="00FA1E7C" w:rsidRDefault="00FA1E7C" w:rsidP="00FA1E7C">
      <w:pPr>
        <w:spacing w:after="0" w:line="480" w:lineRule="auto"/>
        <w:ind w:left="720"/>
      </w:pPr>
      <w:r w:rsidRPr="000868B8">
        <w:lastRenderedPageBreak/>
        <w:t>properties that influence the oral bioavailability of drug candidates</w:t>
      </w:r>
      <w:r w:rsidRPr="00FA1E7C">
        <w:t>. J. Med. Chem. 45</w:t>
      </w:r>
      <w:r>
        <w:t>, 2615–2623.</w:t>
      </w:r>
      <w:r w:rsidRPr="000868B8">
        <w:t xml:space="preserve"> </w:t>
      </w:r>
    </w:p>
    <w:p w:rsidR="001128BF" w:rsidRDefault="00D4362B" w:rsidP="00D4362B">
      <w:pPr>
        <w:spacing w:after="0" w:line="480" w:lineRule="auto"/>
      </w:pPr>
      <w:proofErr w:type="spellStart"/>
      <w:r w:rsidRPr="00DB6A0D">
        <w:t>Zülch</w:t>
      </w:r>
      <w:proofErr w:type="spellEnd"/>
      <w:r w:rsidR="00DB6A0D" w:rsidRPr="00DB6A0D">
        <w:t xml:space="preserve">, A., </w:t>
      </w:r>
      <w:proofErr w:type="spellStart"/>
      <w:r w:rsidR="00DB6A0D" w:rsidRPr="00DB6A0D">
        <w:t>Piringer</w:t>
      </w:r>
      <w:proofErr w:type="spellEnd"/>
      <w:r w:rsidR="00DB6A0D" w:rsidRPr="00DB6A0D">
        <w:t xml:space="preserve">, O., </w:t>
      </w:r>
      <w:r w:rsidRPr="00DB6A0D">
        <w:t xml:space="preserve">2010. </w:t>
      </w:r>
      <w:r>
        <w:t xml:space="preserve">Measurement and modelling of migration from paper and board into </w:t>
      </w:r>
    </w:p>
    <w:p w:rsidR="00BF11F0" w:rsidRDefault="00D4362B" w:rsidP="00B066CA">
      <w:pPr>
        <w:spacing w:after="0" w:line="480" w:lineRule="auto"/>
        <w:ind w:left="720"/>
        <w:sectPr w:rsidR="00BF11F0" w:rsidSect="00C61D10">
          <w:pgSz w:w="11906" w:h="16838"/>
          <w:pgMar w:top="1440" w:right="1440" w:bottom="1440" w:left="1440" w:header="708" w:footer="708" w:gutter="0"/>
          <w:lnNumType w:countBy="1" w:restart="continuous"/>
          <w:cols w:space="708"/>
          <w:docGrid w:linePitch="360"/>
        </w:sectPr>
      </w:pPr>
      <w:r>
        <w:t>foodstuffs and dry food simulants.</w:t>
      </w:r>
      <w:r w:rsidR="00DB6A0D">
        <w:t xml:space="preserve"> Food </w:t>
      </w:r>
      <w:proofErr w:type="spellStart"/>
      <w:r w:rsidR="00DB6A0D">
        <w:t>Contam</w:t>
      </w:r>
      <w:proofErr w:type="spellEnd"/>
      <w:r w:rsidR="00DB6A0D">
        <w:t>. Add. Part A.</w:t>
      </w:r>
      <w:r w:rsidR="00DB6A0D" w:rsidRPr="00DB6A0D">
        <w:t xml:space="preserve"> Chem. Anal. Control Expo. Risk Assess. 27:9, 1306-1324</w:t>
      </w:r>
      <w:r w:rsidR="00B066CA">
        <w:t>.</w:t>
      </w:r>
    </w:p>
    <w:p w:rsidR="00BF11F0" w:rsidRDefault="00BF11F0" w:rsidP="00BF11F0">
      <w:pPr>
        <w:spacing w:after="0" w:line="480" w:lineRule="auto"/>
        <w:jc w:val="both"/>
        <w:rPr>
          <w:sz w:val="20"/>
        </w:rPr>
      </w:pPr>
      <w:r w:rsidRPr="00BF11F0">
        <w:rPr>
          <w:b/>
          <w:sz w:val="20"/>
        </w:rPr>
        <w:lastRenderedPageBreak/>
        <w:t>Figure 1.</w:t>
      </w:r>
      <w:r w:rsidRPr="003C7CFE">
        <w:rPr>
          <w:sz w:val="20"/>
        </w:rPr>
        <w:t xml:space="preserve"> Number of substances listed for printing ink, paper(board) and plastic FCM. Union list, Regulation (EU) No 10/2011 on plastic materials and articles intended to come into contact with food; </w:t>
      </w:r>
      <w:proofErr w:type="spellStart"/>
      <w:r w:rsidRPr="003C7CFE">
        <w:rPr>
          <w:sz w:val="20"/>
        </w:rPr>
        <w:t>CoE</w:t>
      </w:r>
      <w:proofErr w:type="spellEnd"/>
      <w:r w:rsidRPr="003C7CFE">
        <w:rPr>
          <w:sz w:val="20"/>
        </w:rPr>
        <w:t xml:space="preserve"> list, Resolution of the Council of Europe on paper and board materials and articles intended to come into contact with foodstuffs; ESCO list, EFSA Scientific Cooperation Working Group report on non-plastic FCM: Paper and board section; Swiss list, Swiss Ordinance on Materials and Articles in Contact with Food: Annex 6. </w:t>
      </w:r>
    </w:p>
    <w:p w:rsidR="00BF11F0" w:rsidRDefault="00BF11F0" w:rsidP="00BF11F0">
      <w:pPr>
        <w:spacing w:after="0" w:line="480" w:lineRule="auto"/>
        <w:jc w:val="both"/>
        <w:rPr>
          <w:sz w:val="20"/>
        </w:rPr>
      </w:pPr>
    </w:p>
    <w:p w:rsidR="00BF11F0" w:rsidRDefault="00BF11F0" w:rsidP="00BF11F0">
      <w:pPr>
        <w:spacing w:after="0" w:line="480" w:lineRule="auto"/>
        <w:jc w:val="both"/>
        <w:rPr>
          <w:sz w:val="20"/>
        </w:rPr>
      </w:pPr>
      <w:r w:rsidRPr="00BF11F0">
        <w:rPr>
          <w:b/>
          <w:sz w:val="20"/>
        </w:rPr>
        <w:t>Figure 2.</w:t>
      </w:r>
      <w:r w:rsidRPr="00921FAF">
        <w:rPr>
          <w:sz w:val="20"/>
        </w:rPr>
        <w:t xml:space="preserve"> Number (%) of substances per FCM application (list). A) Printing inks and/or paper(board); B) Printing inks and/or paper(board) and/or plastic. The list abbreviations used are as indicated in Figure 1.</w:t>
      </w:r>
    </w:p>
    <w:p w:rsidR="00BF11F0" w:rsidRDefault="00BF11F0" w:rsidP="00BF11F0">
      <w:pPr>
        <w:spacing w:after="0" w:line="480" w:lineRule="auto"/>
        <w:jc w:val="both"/>
        <w:rPr>
          <w:sz w:val="20"/>
        </w:rPr>
      </w:pPr>
    </w:p>
    <w:p w:rsidR="00283B56" w:rsidRDefault="00283B56" w:rsidP="00283B56">
      <w:pPr>
        <w:spacing w:after="0" w:line="480" w:lineRule="auto"/>
        <w:jc w:val="both"/>
        <w:rPr>
          <w:sz w:val="20"/>
        </w:rPr>
      </w:pPr>
      <w:r w:rsidRPr="00283B56">
        <w:rPr>
          <w:b/>
          <w:sz w:val="20"/>
        </w:rPr>
        <w:t>Figure 3.</w:t>
      </w:r>
      <w:r>
        <w:rPr>
          <w:sz w:val="20"/>
        </w:rPr>
        <w:t xml:space="preserve"> </w:t>
      </w:r>
      <w:r w:rsidRPr="003C7CFE">
        <w:rPr>
          <w:sz w:val="20"/>
        </w:rPr>
        <w:t>Number (%) of non-evaluated substances per FCM application (list). The list abbreviations used are as indicated in Figure 1.</w:t>
      </w:r>
    </w:p>
    <w:p w:rsidR="00E82E28" w:rsidRDefault="00E82E28" w:rsidP="00283B56">
      <w:pPr>
        <w:spacing w:after="0" w:line="480" w:lineRule="auto"/>
        <w:jc w:val="both"/>
        <w:rPr>
          <w:sz w:val="20"/>
        </w:rPr>
      </w:pPr>
    </w:p>
    <w:p w:rsidR="00E82E28" w:rsidRPr="003C7CFE" w:rsidRDefault="00E82E28" w:rsidP="00E82E28">
      <w:pPr>
        <w:spacing w:after="0" w:line="480" w:lineRule="auto"/>
        <w:jc w:val="both"/>
        <w:rPr>
          <w:sz w:val="20"/>
        </w:rPr>
      </w:pPr>
      <w:r w:rsidRPr="00E82E28">
        <w:rPr>
          <w:b/>
          <w:sz w:val="20"/>
        </w:rPr>
        <w:t>Figure 4.</w:t>
      </w:r>
      <w:r>
        <w:rPr>
          <w:sz w:val="20"/>
        </w:rPr>
        <w:t xml:space="preserve"> </w:t>
      </w:r>
      <w:r w:rsidRPr="003C7CFE">
        <w:rPr>
          <w:sz w:val="20"/>
        </w:rPr>
        <w:t>Composition of the combined inventory by substance type</w:t>
      </w:r>
    </w:p>
    <w:p w:rsidR="00E82E28" w:rsidRPr="003C7CFE" w:rsidRDefault="00E82E28" w:rsidP="00283B56">
      <w:pPr>
        <w:spacing w:after="0" w:line="480" w:lineRule="auto"/>
        <w:jc w:val="both"/>
        <w:rPr>
          <w:sz w:val="20"/>
        </w:rPr>
      </w:pPr>
    </w:p>
    <w:p w:rsidR="00E1635F" w:rsidRPr="003C7CFE" w:rsidRDefault="00E1635F" w:rsidP="00E1635F">
      <w:pPr>
        <w:spacing w:after="0" w:line="480" w:lineRule="auto"/>
        <w:jc w:val="both"/>
        <w:rPr>
          <w:sz w:val="20"/>
        </w:rPr>
      </w:pPr>
      <w:r w:rsidRPr="00E1635F">
        <w:rPr>
          <w:b/>
          <w:sz w:val="20"/>
        </w:rPr>
        <w:t>Figure 5.</w:t>
      </w:r>
      <w:r>
        <w:rPr>
          <w:sz w:val="20"/>
        </w:rPr>
        <w:t xml:space="preserve"> </w:t>
      </w:r>
      <w:r w:rsidRPr="003C7CFE">
        <w:rPr>
          <w:sz w:val="20"/>
        </w:rPr>
        <w:t xml:space="preserve">Distribution of (non-)evaluated single substances </w:t>
      </w:r>
    </w:p>
    <w:p w:rsidR="00BF11F0" w:rsidRDefault="00BF11F0" w:rsidP="00BF11F0">
      <w:pPr>
        <w:spacing w:after="0" w:line="480" w:lineRule="auto"/>
        <w:jc w:val="both"/>
        <w:rPr>
          <w:sz w:val="20"/>
        </w:rPr>
      </w:pPr>
    </w:p>
    <w:p w:rsidR="00D30E99" w:rsidRPr="009370F1" w:rsidRDefault="00D30E99" w:rsidP="00D30E99">
      <w:pPr>
        <w:spacing w:after="0" w:line="480" w:lineRule="auto"/>
        <w:jc w:val="both"/>
        <w:rPr>
          <w:sz w:val="20"/>
        </w:rPr>
      </w:pPr>
      <w:r w:rsidRPr="00D30E99">
        <w:rPr>
          <w:b/>
          <w:sz w:val="20"/>
        </w:rPr>
        <w:t>Figure 6.</w:t>
      </w:r>
      <w:r w:rsidRPr="00103A8C">
        <w:rPr>
          <w:sz w:val="20"/>
        </w:rPr>
        <w:t xml:space="preserve"> Physicochemical properties of non-evaluated single substances related to migration (molecular weight) and bioavailability (other). The dotted line indicates the predefined cut-off. Red bars, substances with results below the cut-off; blue bars, substances with results above the cut-off; grey bars, no data. A) Molecular weight (g/</w:t>
      </w:r>
      <w:proofErr w:type="spellStart"/>
      <w:r w:rsidRPr="00103A8C">
        <w:rPr>
          <w:sz w:val="20"/>
        </w:rPr>
        <w:t>mol</w:t>
      </w:r>
      <w:proofErr w:type="spellEnd"/>
      <w:r w:rsidRPr="00103A8C">
        <w:rPr>
          <w:sz w:val="20"/>
        </w:rPr>
        <w:t>); B) Number of Lipinski rule of 5 violations; C) Polar surface area (</w:t>
      </w:r>
      <w:proofErr w:type="spellStart"/>
      <w:r w:rsidRPr="00103A8C">
        <w:rPr>
          <w:sz w:val="20"/>
        </w:rPr>
        <w:t>Angström</w:t>
      </w:r>
      <w:proofErr w:type="spellEnd"/>
      <w:r w:rsidRPr="00103A8C">
        <w:rPr>
          <w:sz w:val="20"/>
        </w:rPr>
        <w:t>) and D) Number of rotating bonds.</w:t>
      </w:r>
      <w:r>
        <w:rPr>
          <w:sz w:val="20"/>
        </w:rPr>
        <w:t xml:space="preserve"> </w:t>
      </w:r>
    </w:p>
    <w:p w:rsidR="00FA4437" w:rsidRDefault="00FA4437" w:rsidP="00FA4437">
      <w:pPr>
        <w:spacing w:after="0" w:line="480" w:lineRule="auto"/>
        <w:jc w:val="both"/>
        <w:rPr>
          <w:b/>
          <w:sz w:val="20"/>
        </w:rPr>
        <w:sectPr w:rsidR="00FA4437" w:rsidSect="00C61D10">
          <w:pgSz w:w="11906" w:h="16838"/>
          <w:pgMar w:top="1440" w:right="1440" w:bottom="1440" w:left="1440" w:header="708" w:footer="708" w:gutter="0"/>
          <w:lnNumType w:countBy="1" w:restart="continuous"/>
          <w:cols w:space="708"/>
          <w:docGrid w:linePitch="360"/>
        </w:sectPr>
      </w:pPr>
    </w:p>
    <w:p w:rsidR="00BF11F0" w:rsidRPr="00AC6A15" w:rsidRDefault="00BF11F0" w:rsidP="00BF11F0">
      <w:pPr>
        <w:spacing w:after="0" w:line="480" w:lineRule="auto"/>
        <w:ind w:left="720" w:hanging="720"/>
        <w:jc w:val="both"/>
        <w:rPr>
          <w:b/>
          <w:sz w:val="20"/>
        </w:rPr>
      </w:pPr>
      <w:r w:rsidRPr="00BF11F0">
        <w:rPr>
          <w:b/>
          <w:sz w:val="20"/>
        </w:rPr>
        <w:lastRenderedPageBreak/>
        <w:t>Table 1.</w:t>
      </w:r>
      <w:r w:rsidRPr="00BF11F0">
        <w:rPr>
          <w:b/>
          <w:sz w:val="20"/>
        </w:rPr>
        <w:tab/>
      </w:r>
      <w:r>
        <w:rPr>
          <w:sz w:val="20"/>
        </w:rPr>
        <w:t>Classification</w:t>
      </w:r>
      <w:r w:rsidRPr="00AC6A15">
        <w:rPr>
          <w:sz w:val="20"/>
        </w:rPr>
        <w:t xml:space="preserve"> of printed paper and board substances</w:t>
      </w:r>
      <w:r>
        <w:rPr>
          <w:sz w:val="20"/>
        </w:rPr>
        <w:t xml:space="preserve"> by their evaluation status. N/A: not applicable</w:t>
      </w:r>
    </w:p>
    <w:p w:rsidR="00BF11F0" w:rsidRPr="003C7CFE" w:rsidRDefault="00BF11F0" w:rsidP="00BF11F0">
      <w:pPr>
        <w:spacing w:after="0" w:line="480" w:lineRule="auto"/>
        <w:jc w:val="both"/>
        <w:rPr>
          <w:sz w:val="20"/>
        </w:rPr>
      </w:pPr>
    </w:p>
    <w:p w:rsidR="002A0ED9" w:rsidRDefault="00283B56" w:rsidP="00283B56">
      <w:pPr>
        <w:spacing w:after="0" w:line="480" w:lineRule="auto"/>
        <w:rPr>
          <w:sz w:val="20"/>
        </w:rPr>
      </w:pPr>
      <w:r w:rsidRPr="00283B56">
        <w:rPr>
          <w:b/>
          <w:sz w:val="20"/>
        </w:rPr>
        <w:t>Table 2.</w:t>
      </w:r>
      <w:r w:rsidRPr="00226C39">
        <w:rPr>
          <w:sz w:val="20"/>
        </w:rPr>
        <w:t xml:space="preserve"> Number (%) of evaluated and non-evaluated substances among printing ink (Swiss list), paper(board) (</w:t>
      </w:r>
      <w:proofErr w:type="spellStart"/>
      <w:r w:rsidRPr="00226C39">
        <w:rPr>
          <w:sz w:val="20"/>
        </w:rPr>
        <w:t>CoE</w:t>
      </w:r>
      <w:proofErr w:type="spellEnd"/>
      <w:r w:rsidRPr="00226C39">
        <w:rPr>
          <w:sz w:val="20"/>
        </w:rPr>
        <w:t xml:space="preserve"> and ESCO list) and plastic (Union list) FCM substances. The list abbreviations used are as indicated in Figure 1. N/A: not applicable</w:t>
      </w:r>
    </w:p>
    <w:p w:rsidR="00FA4437" w:rsidRDefault="00FA4437" w:rsidP="00FA4437">
      <w:pPr>
        <w:spacing w:after="0" w:line="480" w:lineRule="auto"/>
        <w:jc w:val="both"/>
      </w:pPr>
    </w:p>
    <w:p w:rsidR="00FA4437" w:rsidRPr="00C76D17" w:rsidRDefault="00FA4437" w:rsidP="00FA4437">
      <w:pPr>
        <w:spacing w:after="0" w:line="480" w:lineRule="auto"/>
        <w:rPr>
          <w:b/>
        </w:rPr>
      </w:pPr>
      <w:r w:rsidRPr="00FA4437">
        <w:rPr>
          <w:b/>
          <w:sz w:val="20"/>
        </w:rPr>
        <w:t>Table 3.</w:t>
      </w:r>
      <w:r w:rsidRPr="00125FDC">
        <w:rPr>
          <w:sz w:val="20"/>
        </w:rPr>
        <w:t xml:space="preserve"> Overview of the substances demonstrating physicochemical properties related to high migration and bioavailability potential and included in both the FACET tool and the </w:t>
      </w:r>
      <w:r w:rsidRPr="00125FDC">
        <w:rPr>
          <w:sz w:val="20"/>
          <w:szCs w:val="20"/>
        </w:rPr>
        <w:t xml:space="preserve">Candidate List of Substances of Very High Concern (SVHC) (consulted on June 15, 2016). PBT: Persistent, </w:t>
      </w:r>
      <w:proofErr w:type="spellStart"/>
      <w:r w:rsidRPr="00125FDC">
        <w:rPr>
          <w:sz w:val="20"/>
          <w:szCs w:val="20"/>
        </w:rPr>
        <w:t>Bioaccumulative</w:t>
      </w:r>
      <w:proofErr w:type="spellEnd"/>
      <w:r w:rsidRPr="00125FDC">
        <w:rPr>
          <w:sz w:val="20"/>
          <w:szCs w:val="20"/>
        </w:rPr>
        <w:t xml:space="preserve"> and Toxic substances; </w:t>
      </w:r>
      <w:proofErr w:type="spellStart"/>
      <w:r w:rsidRPr="00125FDC">
        <w:rPr>
          <w:sz w:val="20"/>
          <w:szCs w:val="20"/>
        </w:rPr>
        <w:t>vPvB</w:t>
      </w:r>
      <w:proofErr w:type="spellEnd"/>
      <w:r w:rsidRPr="00125FDC">
        <w:rPr>
          <w:sz w:val="20"/>
          <w:szCs w:val="20"/>
        </w:rPr>
        <w:t xml:space="preserve">: very Persistent and very </w:t>
      </w:r>
      <w:proofErr w:type="spellStart"/>
      <w:r w:rsidRPr="00125FDC">
        <w:rPr>
          <w:sz w:val="20"/>
          <w:szCs w:val="20"/>
        </w:rPr>
        <w:t>Bioaccumulative</w:t>
      </w:r>
      <w:proofErr w:type="spellEnd"/>
      <w:r w:rsidRPr="00125FDC">
        <w:rPr>
          <w:sz w:val="20"/>
          <w:szCs w:val="20"/>
        </w:rPr>
        <w:t xml:space="preserve"> substances.</w:t>
      </w:r>
    </w:p>
    <w:sectPr w:rsidR="00FA4437" w:rsidRPr="00C76D17" w:rsidSect="00C61D10">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905" w:rsidRDefault="006F7905" w:rsidP="00C95EE9">
      <w:pPr>
        <w:spacing w:after="0" w:line="240" w:lineRule="auto"/>
      </w:pPr>
      <w:r>
        <w:separator/>
      </w:r>
    </w:p>
  </w:endnote>
  <w:endnote w:type="continuationSeparator" w:id="0">
    <w:p w:rsidR="006F7905" w:rsidRDefault="006F7905" w:rsidP="00C95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34117"/>
      <w:docPartObj>
        <w:docPartGallery w:val="Page Numbers (Bottom of Page)"/>
        <w:docPartUnique/>
      </w:docPartObj>
    </w:sdtPr>
    <w:sdtEndPr>
      <w:rPr>
        <w:noProof/>
      </w:rPr>
    </w:sdtEndPr>
    <w:sdtContent>
      <w:p w:rsidR="005005D3" w:rsidRDefault="005005D3">
        <w:pPr>
          <w:pStyle w:val="Footer"/>
          <w:jc w:val="right"/>
        </w:pPr>
        <w:r>
          <w:fldChar w:fldCharType="begin"/>
        </w:r>
        <w:r>
          <w:instrText xml:space="preserve"> PAGE   \* MERGEFORMAT </w:instrText>
        </w:r>
        <w:r>
          <w:fldChar w:fldCharType="separate"/>
        </w:r>
        <w:r w:rsidR="00C949D6">
          <w:rPr>
            <w:noProof/>
          </w:rPr>
          <w:t>12</w:t>
        </w:r>
        <w:r>
          <w:rPr>
            <w:noProof/>
          </w:rPr>
          <w:fldChar w:fldCharType="end"/>
        </w:r>
      </w:p>
    </w:sdtContent>
  </w:sdt>
  <w:p w:rsidR="005005D3" w:rsidRDefault="005005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905" w:rsidRDefault="006F7905" w:rsidP="00C95EE9">
      <w:pPr>
        <w:spacing w:after="0" w:line="240" w:lineRule="auto"/>
      </w:pPr>
      <w:r>
        <w:separator/>
      </w:r>
    </w:p>
  </w:footnote>
  <w:footnote w:type="continuationSeparator" w:id="0">
    <w:p w:rsidR="006F7905" w:rsidRDefault="006F7905" w:rsidP="00C95E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3130E"/>
    <w:multiLevelType w:val="hybridMultilevel"/>
    <w:tmpl w:val="57A6D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936080"/>
    <w:multiLevelType w:val="hybridMultilevel"/>
    <w:tmpl w:val="470E5922"/>
    <w:lvl w:ilvl="0" w:tplc="C44C4E10">
      <w:start w:val="9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323B06"/>
    <w:multiLevelType w:val="hybridMultilevel"/>
    <w:tmpl w:val="2474E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8B32BC"/>
    <w:multiLevelType w:val="hybridMultilevel"/>
    <w:tmpl w:val="479A7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8B5F3B"/>
    <w:multiLevelType w:val="multilevel"/>
    <w:tmpl w:val="BF72F31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5">
    <w:nsid w:val="3F282C39"/>
    <w:multiLevelType w:val="hybridMultilevel"/>
    <w:tmpl w:val="A72603A2"/>
    <w:lvl w:ilvl="0" w:tplc="003E906A">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810D7E"/>
    <w:multiLevelType w:val="hybridMultilevel"/>
    <w:tmpl w:val="966A08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1E4EA3"/>
    <w:multiLevelType w:val="multilevel"/>
    <w:tmpl w:val="124C37B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3C73173"/>
    <w:multiLevelType w:val="multilevel"/>
    <w:tmpl w:val="6CAA54C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64F72115"/>
    <w:multiLevelType w:val="hybridMultilevel"/>
    <w:tmpl w:val="1AC2D5D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A6A237A"/>
    <w:multiLevelType w:val="hybridMultilevel"/>
    <w:tmpl w:val="E7567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430DCF"/>
    <w:multiLevelType w:val="hybridMultilevel"/>
    <w:tmpl w:val="4892800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E656397"/>
    <w:multiLevelType w:val="multilevel"/>
    <w:tmpl w:val="BD8A0D9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75200DA6"/>
    <w:multiLevelType w:val="hybridMultilevel"/>
    <w:tmpl w:val="75188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64D3A5D"/>
    <w:multiLevelType w:val="hybridMultilevel"/>
    <w:tmpl w:val="700CE94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6DE6881"/>
    <w:multiLevelType w:val="hybridMultilevel"/>
    <w:tmpl w:val="823E29E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85522EA"/>
    <w:multiLevelType w:val="hybridMultilevel"/>
    <w:tmpl w:val="AEDA54D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8EE1FF9"/>
    <w:multiLevelType w:val="hybridMultilevel"/>
    <w:tmpl w:val="B3600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6"/>
  </w:num>
  <w:num w:numId="4">
    <w:abstractNumId w:val="10"/>
  </w:num>
  <w:num w:numId="5">
    <w:abstractNumId w:val="8"/>
  </w:num>
  <w:num w:numId="6">
    <w:abstractNumId w:val="11"/>
  </w:num>
  <w:num w:numId="7">
    <w:abstractNumId w:val="7"/>
  </w:num>
  <w:num w:numId="8">
    <w:abstractNumId w:val="12"/>
  </w:num>
  <w:num w:numId="9">
    <w:abstractNumId w:val="0"/>
  </w:num>
  <w:num w:numId="10">
    <w:abstractNumId w:val="2"/>
  </w:num>
  <w:num w:numId="11">
    <w:abstractNumId w:val="3"/>
  </w:num>
  <w:num w:numId="12">
    <w:abstractNumId w:val="6"/>
  </w:num>
  <w:num w:numId="13">
    <w:abstractNumId w:val="13"/>
  </w:num>
  <w:num w:numId="14">
    <w:abstractNumId w:val="14"/>
  </w:num>
  <w:num w:numId="15">
    <w:abstractNumId w:val="5"/>
  </w:num>
  <w:num w:numId="16">
    <w:abstractNumId w:val="17"/>
  </w:num>
  <w:num w:numId="17">
    <w:abstractNumId w:val="9"/>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ENInstantFormat&gt;&lt;Enabled&gt;1&lt;/Enabled&gt;&lt;ScanUnformatted&gt;1&lt;/ScanUnformatted&gt;&lt;ScanChanges&gt;1&lt;/ScanChanges&gt;&lt;/ENInstantFormat&gt;"/>
    <w:docVar w:name="REFMGR.Libraries" w:val="&lt;ENLibraries&gt;&lt;Libraries&gt;&lt;item&gt;Search 3&lt;/item&gt;&lt;/Libraries&gt;&lt;/ENLibraries&gt;"/>
  </w:docVars>
  <w:rsids>
    <w:rsidRoot w:val="009A3CB6"/>
    <w:rsid w:val="000030A5"/>
    <w:rsid w:val="00003BCB"/>
    <w:rsid w:val="00003D38"/>
    <w:rsid w:val="00004D4E"/>
    <w:rsid w:val="00005059"/>
    <w:rsid w:val="00006526"/>
    <w:rsid w:val="00006B2C"/>
    <w:rsid w:val="000077FC"/>
    <w:rsid w:val="00010093"/>
    <w:rsid w:val="000102E7"/>
    <w:rsid w:val="000145F3"/>
    <w:rsid w:val="00014EA2"/>
    <w:rsid w:val="00015889"/>
    <w:rsid w:val="00016AAF"/>
    <w:rsid w:val="00022647"/>
    <w:rsid w:val="00023425"/>
    <w:rsid w:val="00023630"/>
    <w:rsid w:val="0002515A"/>
    <w:rsid w:val="00025D23"/>
    <w:rsid w:val="00026906"/>
    <w:rsid w:val="000314AC"/>
    <w:rsid w:val="000314C7"/>
    <w:rsid w:val="0003475E"/>
    <w:rsid w:val="00035CF3"/>
    <w:rsid w:val="000376E9"/>
    <w:rsid w:val="00040204"/>
    <w:rsid w:val="00040D78"/>
    <w:rsid w:val="000416BB"/>
    <w:rsid w:val="00042B23"/>
    <w:rsid w:val="000448AC"/>
    <w:rsid w:val="0004495D"/>
    <w:rsid w:val="00046469"/>
    <w:rsid w:val="00052382"/>
    <w:rsid w:val="00053641"/>
    <w:rsid w:val="000548F5"/>
    <w:rsid w:val="00055532"/>
    <w:rsid w:val="000569D9"/>
    <w:rsid w:val="00056B49"/>
    <w:rsid w:val="000615F1"/>
    <w:rsid w:val="00062507"/>
    <w:rsid w:val="00063F28"/>
    <w:rsid w:val="00064B84"/>
    <w:rsid w:val="000673B3"/>
    <w:rsid w:val="00070765"/>
    <w:rsid w:val="000717CE"/>
    <w:rsid w:val="00073AAF"/>
    <w:rsid w:val="00074F44"/>
    <w:rsid w:val="00077248"/>
    <w:rsid w:val="00077575"/>
    <w:rsid w:val="00080DD2"/>
    <w:rsid w:val="0008179D"/>
    <w:rsid w:val="00084333"/>
    <w:rsid w:val="00086221"/>
    <w:rsid w:val="000868B8"/>
    <w:rsid w:val="000875CF"/>
    <w:rsid w:val="00090812"/>
    <w:rsid w:val="00093481"/>
    <w:rsid w:val="000A2691"/>
    <w:rsid w:val="000A4387"/>
    <w:rsid w:val="000A4B6E"/>
    <w:rsid w:val="000A60FC"/>
    <w:rsid w:val="000A6AAF"/>
    <w:rsid w:val="000A705A"/>
    <w:rsid w:val="000A7F53"/>
    <w:rsid w:val="000B00D7"/>
    <w:rsid w:val="000B0B44"/>
    <w:rsid w:val="000B0F4E"/>
    <w:rsid w:val="000B2161"/>
    <w:rsid w:val="000B24FC"/>
    <w:rsid w:val="000B3ACB"/>
    <w:rsid w:val="000B3B45"/>
    <w:rsid w:val="000B3B46"/>
    <w:rsid w:val="000B4B5D"/>
    <w:rsid w:val="000B5CBC"/>
    <w:rsid w:val="000B61F8"/>
    <w:rsid w:val="000C1E09"/>
    <w:rsid w:val="000C235F"/>
    <w:rsid w:val="000C2BC7"/>
    <w:rsid w:val="000C4056"/>
    <w:rsid w:val="000C4EA8"/>
    <w:rsid w:val="000D0731"/>
    <w:rsid w:val="000D089B"/>
    <w:rsid w:val="000D231E"/>
    <w:rsid w:val="000D26E0"/>
    <w:rsid w:val="000D3D94"/>
    <w:rsid w:val="000D4E23"/>
    <w:rsid w:val="000D7A28"/>
    <w:rsid w:val="000E176D"/>
    <w:rsid w:val="000E622E"/>
    <w:rsid w:val="000E6716"/>
    <w:rsid w:val="000E6EB4"/>
    <w:rsid w:val="000F1131"/>
    <w:rsid w:val="000F42C0"/>
    <w:rsid w:val="000F56DF"/>
    <w:rsid w:val="000F60ED"/>
    <w:rsid w:val="000F77F5"/>
    <w:rsid w:val="00100EED"/>
    <w:rsid w:val="00103A8C"/>
    <w:rsid w:val="00103B85"/>
    <w:rsid w:val="001041A5"/>
    <w:rsid w:val="00105568"/>
    <w:rsid w:val="001066A2"/>
    <w:rsid w:val="001128BF"/>
    <w:rsid w:val="00115998"/>
    <w:rsid w:val="0012029C"/>
    <w:rsid w:val="001219BA"/>
    <w:rsid w:val="0012264A"/>
    <w:rsid w:val="0012382B"/>
    <w:rsid w:val="00123A67"/>
    <w:rsid w:val="00123C37"/>
    <w:rsid w:val="00124BCB"/>
    <w:rsid w:val="00125FDC"/>
    <w:rsid w:val="00126D44"/>
    <w:rsid w:val="00132FAE"/>
    <w:rsid w:val="00133197"/>
    <w:rsid w:val="00136DCA"/>
    <w:rsid w:val="00140AA6"/>
    <w:rsid w:val="001436C9"/>
    <w:rsid w:val="001447B6"/>
    <w:rsid w:val="001476C6"/>
    <w:rsid w:val="00153528"/>
    <w:rsid w:val="00153B66"/>
    <w:rsid w:val="00155964"/>
    <w:rsid w:val="001600A0"/>
    <w:rsid w:val="001607DE"/>
    <w:rsid w:val="00161DD9"/>
    <w:rsid w:val="0016200B"/>
    <w:rsid w:val="00162865"/>
    <w:rsid w:val="00166DDD"/>
    <w:rsid w:val="00174C70"/>
    <w:rsid w:val="001755F1"/>
    <w:rsid w:val="00175FD9"/>
    <w:rsid w:val="00177D7E"/>
    <w:rsid w:val="0018015E"/>
    <w:rsid w:val="00181A63"/>
    <w:rsid w:val="00181C23"/>
    <w:rsid w:val="00182F1C"/>
    <w:rsid w:val="00184D58"/>
    <w:rsid w:val="00185306"/>
    <w:rsid w:val="00185A3B"/>
    <w:rsid w:val="001868CF"/>
    <w:rsid w:val="00186C75"/>
    <w:rsid w:val="001871D1"/>
    <w:rsid w:val="00190A51"/>
    <w:rsid w:val="00191218"/>
    <w:rsid w:val="0019169B"/>
    <w:rsid w:val="00191BE7"/>
    <w:rsid w:val="001947BA"/>
    <w:rsid w:val="001948F2"/>
    <w:rsid w:val="001976CC"/>
    <w:rsid w:val="001A118D"/>
    <w:rsid w:val="001A19B0"/>
    <w:rsid w:val="001A2F43"/>
    <w:rsid w:val="001A420C"/>
    <w:rsid w:val="001A4382"/>
    <w:rsid w:val="001A54CF"/>
    <w:rsid w:val="001A6D1F"/>
    <w:rsid w:val="001A75B2"/>
    <w:rsid w:val="001A7685"/>
    <w:rsid w:val="001A7BA1"/>
    <w:rsid w:val="001B1FA7"/>
    <w:rsid w:val="001B3F22"/>
    <w:rsid w:val="001B6AC1"/>
    <w:rsid w:val="001B702B"/>
    <w:rsid w:val="001B7301"/>
    <w:rsid w:val="001B7CB2"/>
    <w:rsid w:val="001B7F36"/>
    <w:rsid w:val="001C179E"/>
    <w:rsid w:val="001C2443"/>
    <w:rsid w:val="001C3F4C"/>
    <w:rsid w:val="001C7A84"/>
    <w:rsid w:val="001D08BC"/>
    <w:rsid w:val="001D1D53"/>
    <w:rsid w:val="001D6993"/>
    <w:rsid w:val="001D7979"/>
    <w:rsid w:val="001E0830"/>
    <w:rsid w:val="001E1984"/>
    <w:rsid w:val="001E1B6F"/>
    <w:rsid w:val="001E1F34"/>
    <w:rsid w:val="001E228C"/>
    <w:rsid w:val="001E2890"/>
    <w:rsid w:val="001E2AF1"/>
    <w:rsid w:val="001E492D"/>
    <w:rsid w:val="001E6579"/>
    <w:rsid w:val="001E7727"/>
    <w:rsid w:val="001F1E60"/>
    <w:rsid w:val="001F2112"/>
    <w:rsid w:val="001F3822"/>
    <w:rsid w:val="001F4C49"/>
    <w:rsid w:val="001F6976"/>
    <w:rsid w:val="001F6E30"/>
    <w:rsid w:val="001F7585"/>
    <w:rsid w:val="00200590"/>
    <w:rsid w:val="00201851"/>
    <w:rsid w:val="00202624"/>
    <w:rsid w:val="00204DCF"/>
    <w:rsid w:val="00205E0D"/>
    <w:rsid w:val="00212466"/>
    <w:rsid w:val="00213050"/>
    <w:rsid w:val="002132DA"/>
    <w:rsid w:val="00214462"/>
    <w:rsid w:val="00215197"/>
    <w:rsid w:val="00215AF3"/>
    <w:rsid w:val="00217810"/>
    <w:rsid w:val="002212FE"/>
    <w:rsid w:val="002215CD"/>
    <w:rsid w:val="002230DF"/>
    <w:rsid w:val="00224EC1"/>
    <w:rsid w:val="002256EC"/>
    <w:rsid w:val="002266FE"/>
    <w:rsid w:val="00226C39"/>
    <w:rsid w:val="00227B13"/>
    <w:rsid w:val="00230650"/>
    <w:rsid w:val="0023180A"/>
    <w:rsid w:val="002329E1"/>
    <w:rsid w:val="00232FAF"/>
    <w:rsid w:val="00233B74"/>
    <w:rsid w:val="002378C0"/>
    <w:rsid w:val="00240010"/>
    <w:rsid w:val="00240D9C"/>
    <w:rsid w:val="00241E78"/>
    <w:rsid w:val="002438F7"/>
    <w:rsid w:val="00243D79"/>
    <w:rsid w:val="0024427D"/>
    <w:rsid w:val="00246CD7"/>
    <w:rsid w:val="002475BB"/>
    <w:rsid w:val="0025193F"/>
    <w:rsid w:val="00252ED4"/>
    <w:rsid w:val="002559A0"/>
    <w:rsid w:val="0026127B"/>
    <w:rsid w:val="00261610"/>
    <w:rsid w:val="002617ED"/>
    <w:rsid w:val="00265D7B"/>
    <w:rsid w:val="00270325"/>
    <w:rsid w:val="002715DA"/>
    <w:rsid w:val="00272332"/>
    <w:rsid w:val="002727F8"/>
    <w:rsid w:val="00273E58"/>
    <w:rsid w:val="002742B5"/>
    <w:rsid w:val="0027785A"/>
    <w:rsid w:val="002802C9"/>
    <w:rsid w:val="002803B2"/>
    <w:rsid w:val="0028062F"/>
    <w:rsid w:val="00283B56"/>
    <w:rsid w:val="00283C12"/>
    <w:rsid w:val="0028411F"/>
    <w:rsid w:val="00285655"/>
    <w:rsid w:val="00291FA4"/>
    <w:rsid w:val="00293F7F"/>
    <w:rsid w:val="00297548"/>
    <w:rsid w:val="002A010A"/>
    <w:rsid w:val="002A0ED9"/>
    <w:rsid w:val="002A4568"/>
    <w:rsid w:val="002A7147"/>
    <w:rsid w:val="002B0499"/>
    <w:rsid w:val="002B10B7"/>
    <w:rsid w:val="002B29C4"/>
    <w:rsid w:val="002B2C06"/>
    <w:rsid w:val="002B30DE"/>
    <w:rsid w:val="002B32CA"/>
    <w:rsid w:val="002B35C9"/>
    <w:rsid w:val="002B4BD2"/>
    <w:rsid w:val="002B5A4D"/>
    <w:rsid w:val="002B635A"/>
    <w:rsid w:val="002B6784"/>
    <w:rsid w:val="002B743C"/>
    <w:rsid w:val="002B7517"/>
    <w:rsid w:val="002C00C0"/>
    <w:rsid w:val="002C0CFF"/>
    <w:rsid w:val="002C1868"/>
    <w:rsid w:val="002C2437"/>
    <w:rsid w:val="002C4207"/>
    <w:rsid w:val="002C4B5F"/>
    <w:rsid w:val="002C50ED"/>
    <w:rsid w:val="002C5EE3"/>
    <w:rsid w:val="002C7EA9"/>
    <w:rsid w:val="002D0099"/>
    <w:rsid w:val="002D0D4A"/>
    <w:rsid w:val="002D173F"/>
    <w:rsid w:val="002D3612"/>
    <w:rsid w:val="002D3E42"/>
    <w:rsid w:val="002D69AA"/>
    <w:rsid w:val="002E3C51"/>
    <w:rsid w:val="002E6EA4"/>
    <w:rsid w:val="002E7B97"/>
    <w:rsid w:val="002F27CE"/>
    <w:rsid w:val="002F4B5E"/>
    <w:rsid w:val="002F68CB"/>
    <w:rsid w:val="002F6AE4"/>
    <w:rsid w:val="00300409"/>
    <w:rsid w:val="00302E6D"/>
    <w:rsid w:val="00304BBF"/>
    <w:rsid w:val="003103E9"/>
    <w:rsid w:val="00310587"/>
    <w:rsid w:val="00310B86"/>
    <w:rsid w:val="00312DD9"/>
    <w:rsid w:val="003141F6"/>
    <w:rsid w:val="00314BF0"/>
    <w:rsid w:val="00314FDD"/>
    <w:rsid w:val="0031534D"/>
    <w:rsid w:val="0031535D"/>
    <w:rsid w:val="00315B6C"/>
    <w:rsid w:val="00315BFB"/>
    <w:rsid w:val="00316EC3"/>
    <w:rsid w:val="00316F08"/>
    <w:rsid w:val="00322EFB"/>
    <w:rsid w:val="00322FC0"/>
    <w:rsid w:val="0032356E"/>
    <w:rsid w:val="00324426"/>
    <w:rsid w:val="00326D9D"/>
    <w:rsid w:val="00331E5C"/>
    <w:rsid w:val="003324F5"/>
    <w:rsid w:val="003348F9"/>
    <w:rsid w:val="00334A34"/>
    <w:rsid w:val="00335743"/>
    <w:rsid w:val="00336385"/>
    <w:rsid w:val="00336C16"/>
    <w:rsid w:val="00340670"/>
    <w:rsid w:val="0034137A"/>
    <w:rsid w:val="00341C8E"/>
    <w:rsid w:val="00341F4C"/>
    <w:rsid w:val="00342633"/>
    <w:rsid w:val="00343D1B"/>
    <w:rsid w:val="0034653E"/>
    <w:rsid w:val="00347669"/>
    <w:rsid w:val="0034775B"/>
    <w:rsid w:val="0034783A"/>
    <w:rsid w:val="00350D1D"/>
    <w:rsid w:val="00351AB2"/>
    <w:rsid w:val="00353098"/>
    <w:rsid w:val="003538B1"/>
    <w:rsid w:val="00356741"/>
    <w:rsid w:val="00357EE7"/>
    <w:rsid w:val="0036108B"/>
    <w:rsid w:val="00361A24"/>
    <w:rsid w:val="00362F57"/>
    <w:rsid w:val="003654EC"/>
    <w:rsid w:val="00367066"/>
    <w:rsid w:val="0037058B"/>
    <w:rsid w:val="00373186"/>
    <w:rsid w:val="00373A9C"/>
    <w:rsid w:val="00373EC9"/>
    <w:rsid w:val="0038054C"/>
    <w:rsid w:val="0038156B"/>
    <w:rsid w:val="00381D60"/>
    <w:rsid w:val="003841EE"/>
    <w:rsid w:val="003844FC"/>
    <w:rsid w:val="00387AE5"/>
    <w:rsid w:val="00390518"/>
    <w:rsid w:val="00391434"/>
    <w:rsid w:val="00392578"/>
    <w:rsid w:val="0039276B"/>
    <w:rsid w:val="00394A65"/>
    <w:rsid w:val="00397C90"/>
    <w:rsid w:val="003A5150"/>
    <w:rsid w:val="003A6480"/>
    <w:rsid w:val="003A6A86"/>
    <w:rsid w:val="003A6B6E"/>
    <w:rsid w:val="003A6DC2"/>
    <w:rsid w:val="003A7171"/>
    <w:rsid w:val="003B0B7A"/>
    <w:rsid w:val="003B26BB"/>
    <w:rsid w:val="003B3839"/>
    <w:rsid w:val="003B5AA2"/>
    <w:rsid w:val="003B7029"/>
    <w:rsid w:val="003C0C2F"/>
    <w:rsid w:val="003C2825"/>
    <w:rsid w:val="003C32D6"/>
    <w:rsid w:val="003C388A"/>
    <w:rsid w:val="003C54A9"/>
    <w:rsid w:val="003C62AC"/>
    <w:rsid w:val="003C62DF"/>
    <w:rsid w:val="003C637C"/>
    <w:rsid w:val="003C7CFE"/>
    <w:rsid w:val="003D0535"/>
    <w:rsid w:val="003D05DE"/>
    <w:rsid w:val="003D2E75"/>
    <w:rsid w:val="003D3ADC"/>
    <w:rsid w:val="003D513B"/>
    <w:rsid w:val="003E035D"/>
    <w:rsid w:val="003E04A5"/>
    <w:rsid w:val="003E2C48"/>
    <w:rsid w:val="003E31DE"/>
    <w:rsid w:val="003E468B"/>
    <w:rsid w:val="003E5ADE"/>
    <w:rsid w:val="003E7934"/>
    <w:rsid w:val="003F0E30"/>
    <w:rsid w:val="003F1727"/>
    <w:rsid w:val="003F21A4"/>
    <w:rsid w:val="003F29B8"/>
    <w:rsid w:val="003F5B55"/>
    <w:rsid w:val="003F5C4F"/>
    <w:rsid w:val="003F7379"/>
    <w:rsid w:val="00400254"/>
    <w:rsid w:val="00400AB5"/>
    <w:rsid w:val="00401AC8"/>
    <w:rsid w:val="0040217D"/>
    <w:rsid w:val="00402181"/>
    <w:rsid w:val="0040236D"/>
    <w:rsid w:val="0040454A"/>
    <w:rsid w:val="00405692"/>
    <w:rsid w:val="00412BEF"/>
    <w:rsid w:val="00412DBF"/>
    <w:rsid w:val="004132AA"/>
    <w:rsid w:val="0041537D"/>
    <w:rsid w:val="0041623A"/>
    <w:rsid w:val="00416823"/>
    <w:rsid w:val="00420FC1"/>
    <w:rsid w:val="00423A6B"/>
    <w:rsid w:val="00425E1D"/>
    <w:rsid w:val="0043023D"/>
    <w:rsid w:val="00431506"/>
    <w:rsid w:val="00433060"/>
    <w:rsid w:val="00433438"/>
    <w:rsid w:val="00434EA8"/>
    <w:rsid w:val="004359BE"/>
    <w:rsid w:val="00436D45"/>
    <w:rsid w:val="004375C4"/>
    <w:rsid w:val="00440AD3"/>
    <w:rsid w:val="00441F2C"/>
    <w:rsid w:val="00446FFE"/>
    <w:rsid w:val="0045010F"/>
    <w:rsid w:val="004522F0"/>
    <w:rsid w:val="00453643"/>
    <w:rsid w:val="00454B31"/>
    <w:rsid w:val="0045740B"/>
    <w:rsid w:val="00460159"/>
    <w:rsid w:val="00460AF4"/>
    <w:rsid w:val="004619D7"/>
    <w:rsid w:val="004623C7"/>
    <w:rsid w:val="0046337D"/>
    <w:rsid w:val="00463912"/>
    <w:rsid w:val="004643C3"/>
    <w:rsid w:val="00464C0C"/>
    <w:rsid w:val="004656CC"/>
    <w:rsid w:val="00466016"/>
    <w:rsid w:val="00467AB6"/>
    <w:rsid w:val="00470212"/>
    <w:rsid w:val="0047043F"/>
    <w:rsid w:val="004712B0"/>
    <w:rsid w:val="00474C53"/>
    <w:rsid w:val="0047500A"/>
    <w:rsid w:val="0047758D"/>
    <w:rsid w:val="004777C9"/>
    <w:rsid w:val="004800DC"/>
    <w:rsid w:val="004809B8"/>
    <w:rsid w:val="00481042"/>
    <w:rsid w:val="00483B84"/>
    <w:rsid w:val="00484D97"/>
    <w:rsid w:val="00487D8A"/>
    <w:rsid w:val="0049031F"/>
    <w:rsid w:val="00490895"/>
    <w:rsid w:val="00491C6F"/>
    <w:rsid w:val="004932FC"/>
    <w:rsid w:val="0049355F"/>
    <w:rsid w:val="00493BC7"/>
    <w:rsid w:val="004958AD"/>
    <w:rsid w:val="00495FE4"/>
    <w:rsid w:val="00496DAB"/>
    <w:rsid w:val="00497292"/>
    <w:rsid w:val="00497C21"/>
    <w:rsid w:val="004A03F1"/>
    <w:rsid w:val="004A09FA"/>
    <w:rsid w:val="004A1964"/>
    <w:rsid w:val="004A1A0F"/>
    <w:rsid w:val="004A2C1D"/>
    <w:rsid w:val="004A432D"/>
    <w:rsid w:val="004A6243"/>
    <w:rsid w:val="004A6297"/>
    <w:rsid w:val="004A7D03"/>
    <w:rsid w:val="004B0D1C"/>
    <w:rsid w:val="004B1124"/>
    <w:rsid w:val="004B182F"/>
    <w:rsid w:val="004B1B81"/>
    <w:rsid w:val="004B1C85"/>
    <w:rsid w:val="004B22AF"/>
    <w:rsid w:val="004B24CB"/>
    <w:rsid w:val="004B2B38"/>
    <w:rsid w:val="004B3501"/>
    <w:rsid w:val="004B3CA5"/>
    <w:rsid w:val="004B4790"/>
    <w:rsid w:val="004B7F6A"/>
    <w:rsid w:val="004C03FF"/>
    <w:rsid w:val="004C0B49"/>
    <w:rsid w:val="004C0CAE"/>
    <w:rsid w:val="004C20E1"/>
    <w:rsid w:val="004C4BC1"/>
    <w:rsid w:val="004C4C2C"/>
    <w:rsid w:val="004C5092"/>
    <w:rsid w:val="004C5549"/>
    <w:rsid w:val="004C5697"/>
    <w:rsid w:val="004C5F19"/>
    <w:rsid w:val="004C7C77"/>
    <w:rsid w:val="004D065A"/>
    <w:rsid w:val="004D0EEC"/>
    <w:rsid w:val="004D214F"/>
    <w:rsid w:val="004D2240"/>
    <w:rsid w:val="004D6BF9"/>
    <w:rsid w:val="004E05E9"/>
    <w:rsid w:val="004E0C8B"/>
    <w:rsid w:val="004E26ED"/>
    <w:rsid w:val="004E27DB"/>
    <w:rsid w:val="004E2EA6"/>
    <w:rsid w:val="004E42EB"/>
    <w:rsid w:val="004E49B2"/>
    <w:rsid w:val="004E54D5"/>
    <w:rsid w:val="004E5649"/>
    <w:rsid w:val="004E597D"/>
    <w:rsid w:val="004E5FBB"/>
    <w:rsid w:val="004E6846"/>
    <w:rsid w:val="004E6C98"/>
    <w:rsid w:val="004F44B0"/>
    <w:rsid w:val="004F50FE"/>
    <w:rsid w:val="004F67C6"/>
    <w:rsid w:val="005005D3"/>
    <w:rsid w:val="00500EAD"/>
    <w:rsid w:val="00501BA2"/>
    <w:rsid w:val="00501CCE"/>
    <w:rsid w:val="00503ABE"/>
    <w:rsid w:val="005050CC"/>
    <w:rsid w:val="00505415"/>
    <w:rsid w:val="00510A14"/>
    <w:rsid w:val="005110AD"/>
    <w:rsid w:val="005115DC"/>
    <w:rsid w:val="00511EC3"/>
    <w:rsid w:val="005128F2"/>
    <w:rsid w:val="005137E3"/>
    <w:rsid w:val="00513FB3"/>
    <w:rsid w:val="00513FE6"/>
    <w:rsid w:val="00514D25"/>
    <w:rsid w:val="00515345"/>
    <w:rsid w:val="00515580"/>
    <w:rsid w:val="00515A55"/>
    <w:rsid w:val="00516D9C"/>
    <w:rsid w:val="00520377"/>
    <w:rsid w:val="00520F1D"/>
    <w:rsid w:val="005249AF"/>
    <w:rsid w:val="00525855"/>
    <w:rsid w:val="00526010"/>
    <w:rsid w:val="005263E7"/>
    <w:rsid w:val="0052739E"/>
    <w:rsid w:val="00530876"/>
    <w:rsid w:val="00530DE3"/>
    <w:rsid w:val="00536D85"/>
    <w:rsid w:val="00536EFC"/>
    <w:rsid w:val="00541470"/>
    <w:rsid w:val="00541FA6"/>
    <w:rsid w:val="0054210A"/>
    <w:rsid w:val="0054215C"/>
    <w:rsid w:val="00542D0A"/>
    <w:rsid w:val="005430F1"/>
    <w:rsid w:val="00543DC4"/>
    <w:rsid w:val="005442DE"/>
    <w:rsid w:val="0054479A"/>
    <w:rsid w:val="005462F2"/>
    <w:rsid w:val="00547491"/>
    <w:rsid w:val="005500AB"/>
    <w:rsid w:val="005536F9"/>
    <w:rsid w:val="00553D79"/>
    <w:rsid w:val="00553EFC"/>
    <w:rsid w:val="005547AC"/>
    <w:rsid w:val="00555AA7"/>
    <w:rsid w:val="00557A40"/>
    <w:rsid w:val="005600E2"/>
    <w:rsid w:val="00560B03"/>
    <w:rsid w:val="00561F49"/>
    <w:rsid w:val="005658BC"/>
    <w:rsid w:val="00567F7D"/>
    <w:rsid w:val="00571EDF"/>
    <w:rsid w:val="00572605"/>
    <w:rsid w:val="0057275B"/>
    <w:rsid w:val="00573572"/>
    <w:rsid w:val="00575A0C"/>
    <w:rsid w:val="00575D79"/>
    <w:rsid w:val="005768BA"/>
    <w:rsid w:val="0057695D"/>
    <w:rsid w:val="0058136C"/>
    <w:rsid w:val="00582975"/>
    <w:rsid w:val="00582B08"/>
    <w:rsid w:val="00585CC1"/>
    <w:rsid w:val="00587C74"/>
    <w:rsid w:val="0059233A"/>
    <w:rsid w:val="00592F8B"/>
    <w:rsid w:val="00593B82"/>
    <w:rsid w:val="00594DE9"/>
    <w:rsid w:val="00594F80"/>
    <w:rsid w:val="00597CB4"/>
    <w:rsid w:val="005A2380"/>
    <w:rsid w:val="005A4C85"/>
    <w:rsid w:val="005A5042"/>
    <w:rsid w:val="005A6958"/>
    <w:rsid w:val="005B14A0"/>
    <w:rsid w:val="005B3F9A"/>
    <w:rsid w:val="005B58A0"/>
    <w:rsid w:val="005B58C7"/>
    <w:rsid w:val="005B6D46"/>
    <w:rsid w:val="005C0151"/>
    <w:rsid w:val="005C127B"/>
    <w:rsid w:val="005C1E71"/>
    <w:rsid w:val="005C335F"/>
    <w:rsid w:val="005C40A3"/>
    <w:rsid w:val="005C4154"/>
    <w:rsid w:val="005C5F5A"/>
    <w:rsid w:val="005D083E"/>
    <w:rsid w:val="005D1629"/>
    <w:rsid w:val="005D3805"/>
    <w:rsid w:val="005D40BB"/>
    <w:rsid w:val="005D4460"/>
    <w:rsid w:val="005D65D1"/>
    <w:rsid w:val="005D6616"/>
    <w:rsid w:val="005E1030"/>
    <w:rsid w:val="005E2DAB"/>
    <w:rsid w:val="005E5DFE"/>
    <w:rsid w:val="005E6954"/>
    <w:rsid w:val="005E7DF1"/>
    <w:rsid w:val="005F08C3"/>
    <w:rsid w:val="005F4AF3"/>
    <w:rsid w:val="005F55E9"/>
    <w:rsid w:val="005F6B45"/>
    <w:rsid w:val="005F79E2"/>
    <w:rsid w:val="00601175"/>
    <w:rsid w:val="00601514"/>
    <w:rsid w:val="00601716"/>
    <w:rsid w:val="00602367"/>
    <w:rsid w:val="00602E38"/>
    <w:rsid w:val="00604894"/>
    <w:rsid w:val="00606F39"/>
    <w:rsid w:val="0060774D"/>
    <w:rsid w:val="0060788D"/>
    <w:rsid w:val="0061253D"/>
    <w:rsid w:val="00613846"/>
    <w:rsid w:val="00613CF3"/>
    <w:rsid w:val="00617D83"/>
    <w:rsid w:val="00620E90"/>
    <w:rsid w:val="00622A05"/>
    <w:rsid w:val="00622B9D"/>
    <w:rsid w:val="00623CD3"/>
    <w:rsid w:val="0062404F"/>
    <w:rsid w:val="00624204"/>
    <w:rsid w:val="00625B1B"/>
    <w:rsid w:val="00627BB0"/>
    <w:rsid w:val="00630B26"/>
    <w:rsid w:val="00634F4C"/>
    <w:rsid w:val="00637BC4"/>
    <w:rsid w:val="00637CE8"/>
    <w:rsid w:val="00642C23"/>
    <w:rsid w:val="00642FF7"/>
    <w:rsid w:val="006454B7"/>
    <w:rsid w:val="00645E58"/>
    <w:rsid w:val="006518C7"/>
    <w:rsid w:val="00652D82"/>
    <w:rsid w:val="00653390"/>
    <w:rsid w:val="00654AD8"/>
    <w:rsid w:val="00655C92"/>
    <w:rsid w:val="006610E3"/>
    <w:rsid w:val="00661AC7"/>
    <w:rsid w:val="00662769"/>
    <w:rsid w:val="006628BA"/>
    <w:rsid w:val="00663A25"/>
    <w:rsid w:val="0066470D"/>
    <w:rsid w:val="00664AE5"/>
    <w:rsid w:val="00670234"/>
    <w:rsid w:val="00672D4C"/>
    <w:rsid w:val="00673DEE"/>
    <w:rsid w:val="00676030"/>
    <w:rsid w:val="00676A93"/>
    <w:rsid w:val="0067736B"/>
    <w:rsid w:val="00680B93"/>
    <w:rsid w:val="00680DEB"/>
    <w:rsid w:val="00683B64"/>
    <w:rsid w:val="00683E5B"/>
    <w:rsid w:val="0068497D"/>
    <w:rsid w:val="00684F40"/>
    <w:rsid w:val="00685336"/>
    <w:rsid w:val="0069215B"/>
    <w:rsid w:val="00695266"/>
    <w:rsid w:val="00697D7C"/>
    <w:rsid w:val="006A0582"/>
    <w:rsid w:val="006A0B22"/>
    <w:rsid w:val="006A13A4"/>
    <w:rsid w:val="006A36D2"/>
    <w:rsid w:val="006A4B5E"/>
    <w:rsid w:val="006A5E79"/>
    <w:rsid w:val="006A7687"/>
    <w:rsid w:val="006B038E"/>
    <w:rsid w:val="006B0CC9"/>
    <w:rsid w:val="006B3AC6"/>
    <w:rsid w:val="006B3C54"/>
    <w:rsid w:val="006B781F"/>
    <w:rsid w:val="006C043C"/>
    <w:rsid w:val="006C0D67"/>
    <w:rsid w:val="006C0DCF"/>
    <w:rsid w:val="006C0ED0"/>
    <w:rsid w:val="006C13B7"/>
    <w:rsid w:val="006C1AD3"/>
    <w:rsid w:val="006C3891"/>
    <w:rsid w:val="006C4079"/>
    <w:rsid w:val="006C4DC6"/>
    <w:rsid w:val="006C6796"/>
    <w:rsid w:val="006D03C8"/>
    <w:rsid w:val="006D0BDB"/>
    <w:rsid w:val="006D2004"/>
    <w:rsid w:val="006D3222"/>
    <w:rsid w:val="006D673F"/>
    <w:rsid w:val="006D7B2A"/>
    <w:rsid w:val="006E1F08"/>
    <w:rsid w:val="006E213E"/>
    <w:rsid w:val="006E2817"/>
    <w:rsid w:val="006E2F40"/>
    <w:rsid w:val="006E37C7"/>
    <w:rsid w:val="006E6B12"/>
    <w:rsid w:val="006E71C0"/>
    <w:rsid w:val="006E7FED"/>
    <w:rsid w:val="006F097B"/>
    <w:rsid w:val="006F11A8"/>
    <w:rsid w:val="006F1606"/>
    <w:rsid w:val="006F1D11"/>
    <w:rsid w:val="006F2420"/>
    <w:rsid w:val="006F2E54"/>
    <w:rsid w:val="006F66D5"/>
    <w:rsid w:val="006F7905"/>
    <w:rsid w:val="007008FA"/>
    <w:rsid w:val="007011AE"/>
    <w:rsid w:val="00702973"/>
    <w:rsid w:val="007055B1"/>
    <w:rsid w:val="007056D0"/>
    <w:rsid w:val="00707965"/>
    <w:rsid w:val="00710045"/>
    <w:rsid w:val="00711214"/>
    <w:rsid w:val="00711374"/>
    <w:rsid w:val="00713B5C"/>
    <w:rsid w:val="007150A7"/>
    <w:rsid w:val="00716A76"/>
    <w:rsid w:val="0071705E"/>
    <w:rsid w:val="00717107"/>
    <w:rsid w:val="0071755A"/>
    <w:rsid w:val="00717BDA"/>
    <w:rsid w:val="00721D23"/>
    <w:rsid w:val="0072266A"/>
    <w:rsid w:val="00722AEC"/>
    <w:rsid w:val="00724BA3"/>
    <w:rsid w:val="00725AB2"/>
    <w:rsid w:val="00727000"/>
    <w:rsid w:val="00732165"/>
    <w:rsid w:val="0073258D"/>
    <w:rsid w:val="00735ADE"/>
    <w:rsid w:val="00736DD8"/>
    <w:rsid w:val="0074089D"/>
    <w:rsid w:val="00740C4B"/>
    <w:rsid w:val="00742BF1"/>
    <w:rsid w:val="00743922"/>
    <w:rsid w:val="00744D10"/>
    <w:rsid w:val="00745BB5"/>
    <w:rsid w:val="00750014"/>
    <w:rsid w:val="00750F53"/>
    <w:rsid w:val="007510BA"/>
    <w:rsid w:val="0075164D"/>
    <w:rsid w:val="00752FE4"/>
    <w:rsid w:val="00754C45"/>
    <w:rsid w:val="00755991"/>
    <w:rsid w:val="00756C94"/>
    <w:rsid w:val="0076037B"/>
    <w:rsid w:val="00760DDA"/>
    <w:rsid w:val="007623D7"/>
    <w:rsid w:val="00762FBA"/>
    <w:rsid w:val="0076412D"/>
    <w:rsid w:val="00764282"/>
    <w:rsid w:val="007643B7"/>
    <w:rsid w:val="00764715"/>
    <w:rsid w:val="00765403"/>
    <w:rsid w:val="007700A8"/>
    <w:rsid w:val="00770827"/>
    <w:rsid w:val="00770E67"/>
    <w:rsid w:val="0077395A"/>
    <w:rsid w:val="00773D25"/>
    <w:rsid w:val="00774298"/>
    <w:rsid w:val="007803DC"/>
    <w:rsid w:val="007806F0"/>
    <w:rsid w:val="00783979"/>
    <w:rsid w:val="00783C5E"/>
    <w:rsid w:val="00784C7C"/>
    <w:rsid w:val="007852D6"/>
    <w:rsid w:val="00786F30"/>
    <w:rsid w:val="0078709B"/>
    <w:rsid w:val="00787200"/>
    <w:rsid w:val="0079013A"/>
    <w:rsid w:val="00790A60"/>
    <w:rsid w:val="00790AAD"/>
    <w:rsid w:val="0079419E"/>
    <w:rsid w:val="00794CA1"/>
    <w:rsid w:val="007A05F4"/>
    <w:rsid w:val="007A26BB"/>
    <w:rsid w:val="007A2B57"/>
    <w:rsid w:val="007A38CE"/>
    <w:rsid w:val="007A3EEF"/>
    <w:rsid w:val="007A3FC9"/>
    <w:rsid w:val="007A443A"/>
    <w:rsid w:val="007A5779"/>
    <w:rsid w:val="007A731B"/>
    <w:rsid w:val="007B06C8"/>
    <w:rsid w:val="007B0BF6"/>
    <w:rsid w:val="007B1F1F"/>
    <w:rsid w:val="007B220F"/>
    <w:rsid w:val="007B2C25"/>
    <w:rsid w:val="007B3A97"/>
    <w:rsid w:val="007B69F2"/>
    <w:rsid w:val="007B782F"/>
    <w:rsid w:val="007C2AAF"/>
    <w:rsid w:val="007C3176"/>
    <w:rsid w:val="007C40B8"/>
    <w:rsid w:val="007C5F7B"/>
    <w:rsid w:val="007C6676"/>
    <w:rsid w:val="007C700F"/>
    <w:rsid w:val="007C7F12"/>
    <w:rsid w:val="007D2436"/>
    <w:rsid w:val="007D4148"/>
    <w:rsid w:val="007D4705"/>
    <w:rsid w:val="007D4CC1"/>
    <w:rsid w:val="007D5AC4"/>
    <w:rsid w:val="007D6681"/>
    <w:rsid w:val="007D73A7"/>
    <w:rsid w:val="007E2C3B"/>
    <w:rsid w:val="007E33D6"/>
    <w:rsid w:val="007E3AFA"/>
    <w:rsid w:val="007E4D50"/>
    <w:rsid w:val="007E4E94"/>
    <w:rsid w:val="007E52A5"/>
    <w:rsid w:val="007E56F9"/>
    <w:rsid w:val="007E5847"/>
    <w:rsid w:val="007E5C1E"/>
    <w:rsid w:val="007E6559"/>
    <w:rsid w:val="007E6A1E"/>
    <w:rsid w:val="007F0258"/>
    <w:rsid w:val="007F0C82"/>
    <w:rsid w:val="007F0F94"/>
    <w:rsid w:val="007F2065"/>
    <w:rsid w:val="007F3262"/>
    <w:rsid w:val="007F3C6C"/>
    <w:rsid w:val="007F45FF"/>
    <w:rsid w:val="007F4F7E"/>
    <w:rsid w:val="007F6C90"/>
    <w:rsid w:val="0080005D"/>
    <w:rsid w:val="00800078"/>
    <w:rsid w:val="00800C01"/>
    <w:rsid w:val="008018C3"/>
    <w:rsid w:val="00801BA8"/>
    <w:rsid w:val="008056E6"/>
    <w:rsid w:val="008075B5"/>
    <w:rsid w:val="008114BA"/>
    <w:rsid w:val="008138C7"/>
    <w:rsid w:val="008154A4"/>
    <w:rsid w:val="00815FF3"/>
    <w:rsid w:val="0081746D"/>
    <w:rsid w:val="00820D56"/>
    <w:rsid w:val="008215E3"/>
    <w:rsid w:val="00821649"/>
    <w:rsid w:val="008249C5"/>
    <w:rsid w:val="00826383"/>
    <w:rsid w:val="0083470B"/>
    <w:rsid w:val="00834D80"/>
    <w:rsid w:val="00836876"/>
    <w:rsid w:val="008405EC"/>
    <w:rsid w:val="00840BFA"/>
    <w:rsid w:val="008411DC"/>
    <w:rsid w:val="00841F82"/>
    <w:rsid w:val="0084245D"/>
    <w:rsid w:val="00842566"/>
    <w:rsid w:val="00842B27"/>
    <w:rsid w:val="0084458A"/>
    <w:rsid w:val="00845053"/>
    <w:rsid w:val="00846A91"/>
    <w:rsid w:val="00847469"/>
    <w:rsid w:val="00847FE2"/>
    <w:rsid w:val="00850EB9"/>
    <w:rsid w:val="008525D5"/>
    <w:rsid w:val="00852E43"/>
    <w:rsid w:val="00852E9A"/>
    <w:rsid w:val="008569C6"/>
    <w:rsid w:val="00856D9D"/>
    <w:rsid w:val="00860911"/>
    <w:rsid w:val="00860AF4"/>
    <w:rsid w:val="00862285"/>
    <w:rsid w:val="0086700F"/>
    <w:rsid w:val="008675FD"/>
    <w:rsid w:val="0087001D"/>
    <w:rsid w:val="008711EC"/>
    <w:rsid w:val="00872360"/>
    <w:rsid w:val="00873EEE"/>
    <w:rsid w:val="00874125"/>
    <w:rsid w:val="00875A29"/>
    <w:rsid w:val="00875B48"/>
    <w:rsid w:val="00877021"/>
    <w:rsid w:val="008774F7"/>
    <w:rsid w:val="00880229"/>
    <w:rsid w:val="00881BE4"/>
    <w:rsid w:val="00881C72"/>
    <w:rsid w:val="00881FC9"/>
    <w:rsid w:val="0088312C"/>
    <w:rsid w:val="008847C9"/>
    <w:rsid w:val="0088506F"/>
    <w:rsid w:val="008855E3"/>
    <w:rsid w:val="00885ADF"/>
    <w:rsid w:val="00887571"/>
    <w:rsid w:val="00891718"/>
    <w:rsid w:val="00891AD3"/>
    <w:rsid w:val="00892C31"/>
    <w:rsid w:val="00894093"/>
    <w:rsid w:val="0089536C"/>
    <w:rsid w:val="0089547D"/>
    <w:rsid w:val="008A04D1"/>
    <w:rsid w:val="008A07E7"/>
    <w:rsid w:val="008A0B12"/>
    <w:rsid w:val="008A13C2"/>
    <w:rsid w:val="008A14FC"/>
    <w:rsid w:val="008A17A9"/>
    <w:rsid w:val="008A2919"/>
    <w:rsid w:val="008A352C"/>
    <w:rsid w:val="008A49D3"/>
    <w:rsid w:val="008A7277"/>
    <w:rsid w:val="008B1032"/>
    <w:rsid w:val="008B1529"/>
    <w:rsid w:val="008B1F3C"/>
    <w:rsid w:val="008B2DC1"/>
    <w:rsid w:val="008B4815"/>
    <w:rsid w:val="008B531B"/>
    <w:rsid w:val="008B5BDC"/>
    <w:rsid w:val="008B7FBA"/>
    <w:rsid w:val="008C066E"/>
    <w:rsid w:val="008C096C"/>
    <w:rsid w:val="008C273F"/>
    <w:rsid w:val="008C27E4"/>
    <w:rsid w:val="008C3952"/>
    <w:rsid w:val="008C5C08"/>
    <w:rsid w:val="008C76A5"/>
    <w:rsid w:val="008D1F7B"/>
    <w:rsid w:val="008D302A"/>
    <w:rsid w:val="008D344D"/>
    <w:rsid w:val="008D3CE3"/>
    <w:rsid w:val="008D438D"/>
    <w:rsid w:val="008D6A61"/>
    <w:rsid w:val="008E020A"/>
    <w:rsid w:val="008E0BA6"/>
    <w:rsid w:val="008E0D9F"/>
    <w:rsid w:val="008E10AC"/>
    <w:rsid w:val="008E243D"/>
    <w:rsid w:val="008E4D08"/>
    <w:rsid w:val="008E52C5"/>
    <w:rsid w:val="008E56BE"/>
    <w:rsid w:val="008E5B33"/>
    <w:rsid w:val="008E66F7"/>
    <w:rsid w:val="008E7264"/>
    <w:rsid w:val="008E74D1"/>
    <w:rsid w:val="008E7A7D"/>
    <w:rsid w:val="008F007E"/>
    <w:rsid w:val="008F08E2"/>
    <w:rsid w:val="008F09F8"/>
    <w:rsid w:val="008F1D71"/>
    <w:rsid w:val="008F5209"/>
    <w:rsid w:val="008F5773"/>
    <w:rsid w:val="008F5B8A"/>
    <w:rsid w:val="008F5BE3"/>
    <w:rsid w:val="008F6A67"/>
    <w:rsid w:val="008F6E59"/>
    <w:rsid w:val="00901A45"/>
    <w:rsid w:val="00902C9E"/>
    <w:rsid w:val="00905110"/>
    <w:rsid w:val="0090558E"/>
    <w:rsid w:val="009068AD"/>
    <w:rsid w:val="00907560"/>
    <w:rsid w:val="00911836"/>
    <w:rsid w:val="009120E1"/>
    <w:rsid w:val="0091312D"/>
    <w:rsid w:val="009207E9"/>
    <w:rsid w:val="009222AA"/>
    <w:rsid w:val="00924383"/>
    <w:rsid w:val="0092609E"/>
    <w:rsid w:val="00927112"/>
    <w:rsid w:val="00933173"/>
    <w:rsid w:val="00933486"/>
    <w:rsid w:val="009335A1"/>
    <w:rsid w:val="00933F4F"/>
    <w:rsid w:val="009370F1"/>
    <w:rsid w:val="009406E7"/>
    <w:rsid w:val="00941D6B"/>
    <w:rsid w:val="00941EBC"/>
    <w:rsid w:val="009425E3"/>
    <w:rsid w:val="0094417D"/>
    <w:rsid w:val="00945201"/>
    <w:rsid w:val="0094596A"/>
    <w:rsid w:val="009459EB"/>
    <w:rsid w:val="009463D8"/>
    <w:rsid w:val="009466A3"/>
    <w:rsid w:val="00947150"/>
    <w:rsid w:val="0095157B"/>
    <w:rsid w:val="00952D10"/>
    <w:rsid w:val="009534BA"/>
    <w:rsid w:val="00957AC2"/>
    <w:rsid w:val="00960E1D"/>
    <w:rsid w:val="00965DDB"/>
    <w:rsid w:val="0097077D"/>
    <w:rsid w:val="00971013"/>
    <w:rsid w:val="009717C7"/>
    <w:rsid w:val="00973B09"/>
    <w:rsid w:val="00976C4B"/>
    <w:rsid w:val="00977015"/>
    <w:rsid w:val="0098227D"/>
    <w:rsid w:val="00983504"/>
    <w:rsid w:val="00987389"/>
    <w:rsid w:val="00990303"/>
    <w:rsid w:val="00991862"/>
    <w:rsid w:val="00992AC3"/>
    <w:rsid w:val="009933FE"/>
    <w:rsid w:val="00994037"/>
    <w:rsid w:val="009954CF"/>
    <w:rsid w:val="009973AD"/>
    <w:rsid w:val="00997EA0"/>
    <w:rsid w:val="009A29F5"/>
    <w:rsid w:val="009A38BA"/>
    <w:rsid w:val="009A3CB6"/>
    <w:rsid w:val="009A45E6"/>
    <w:rsid w:val="009A5385"/>
    <w:rsid w:val="009A7995"/>
    <w:rsid w:val="009A7B3A"/>
    <w:rsid w:val="009A7C36"/>
    <w:rsid w:val="009B0472"/>
    <w:rsid w:val="009B2183"/>
    <w:rsid w:val="009B39CB"/>
    <w:rsid w:val="009B3D9B"/>
    <w:rsid w:val="009B4B4D"/>
    <w:rsid w:val="009B7C88"/>
    <w:rsid w:val="009B7E22"/>
    <w:rsid w:val="009C309F"/>
    <w:rsid w:val="009C3C61"/>
    <w:rsid w:val="009C5705"/>
    <w:rsid w:val="009D44DF"/>
    <w:rsid w:val="009D4A9E"/>
    <w:rsid w:val="009D4D20"/>
    <w:rsid w:val="009D529A"/>
    <w:rsid w:val="009E01B9"/>
    <w:rsid w:val="009E0ED7"/>
    <w:rsid w:val="009E2062"/>
    <w:rsid w:val="009E4F70"/>
    <w:rsid w:val="009E50B6"/>
    <w:rsid w:val="009F0581"/>
    <w:rsid w:val="009F11F0"/>
    <w:rsid w:val="009F1327"/>
    <w:rsid w:val="009F2FE7"/>
    <w:rsid w:val="009F3366"/>
    <w:rsid w:val="009F5A2B"/>
    <w:rsid w:val="009F5C20"/>
    <w:rsid w:val="009F6CD5"/>
    <w:rsid w:val="00A00ECF"/>
    <w:rsid w:val="00A018D4"/>
    <w:rsid w:val="00A02F2E"/>
    <w:rsid w:val="00A04230"/>
    <w:rsid w:val="00A04449"/>
    <w:rsid w:val="00A04F94"/>
    <w:rsid w:val="00A05050"/>
    <w:rsid w:val="00A07D72"/>
    <w:rsid w:val="00A12F5E"/>
    <w:rsid w:val="00A131BE"/>
    <w:rsid w:val="00A133C3"/>
    <w:rsid w:val="00A14319"/>
    <w:rsid w:val="00A149D3"/>
    <w:rsid w:val="00A16B80"/>
    <w:rsid w:val="00A204A8"/>
    <w:rsid w:val="00A23733"/>
    <w:rsid w:val="00A23C0F"/>
    <w:rsid w:val="00A23F84"/>
    <w:rsid w:val="00A24590"/>
    <w:rsid w:val="00A2471D"/>
    <w:rsid w:val="00A26CD9"/>
    <w:rsid w:val="00A274E9"/>
    <w:rsid w:val="00A32DF9"/>
    <w:rsid w:val="00A33025"/>
    <w:rsid w:val="00A34DE4"/>
    <w:rsid w:val="00A35DEC"/>
    <w:rsid w:val="00A3652C"/>
    <w:rsid w:val="00A367D0"/>
    <w:rsid w:val="00A3719F"/>
    <w:rsid w:val="00A40AED"/>
    <w:rsid w:val="00A4378B"/>
    <w:rsid w:val="00A4597D"/>
    <w:rsid w:val="00A465A5"/>
    <w:rsid w:val="00A46DB9"/>
    <w:rsid w:val="00A50BE7"/>
    <w:rsid w:val="00A50BEF"/>
    <w:rsid w:val="00A52FFD"/>
    <w:rsid w:val="00A534F9"/>
    <w:rsid w:val="00A54FCF"/>
    <w:rsid w:val="00A56104"/>
    <w:rsid w:val="00A5660C"/>
    <w:rsid w:val="00A60972"/>
    <w:rsid w:val="00A6239F"/>
    <w:rsid w:val="00A62813"/>
    <w:rsid w:val="00A62E76"/>
    <w:rsid w:val="00A635ED"/>
    <w:rsid w:val="00A64A6D"/>
    <w:rsid w:val="00A72E73"/>
    <w:rsid w:val="00A74339"/>
    <w:rsid w:val="00A75320"/>
    <w:rsid w:val="00A75776"/>
    <w:rsid w:val="00A75DFC"/>
    <w:rsid w:val="00A76186"/>
    <w:rsid w:val="00A76226"/>
    <w:rsid w:val="00A81163"/>
    <w:rsid w:val="00A8278E"/>
    <w:rsid w:val="00A849A9"/>
    <w:rsid w:val="00A84D01"/>
    <w:rsid w:val="00A85E59"/>
    <w:rsid w:val="00A862C2"/>
    <w:rsid w:val="00A86A5A"/>
    <w:rsid w:val="00A907C0"/>
    <w:rsid w:val="00A915E4"/>
    <w:rsid w:val="00A92724"/>
    <w:rsid w:val="00A96C84"/>
    <w:rsid w:val="00AA23AA"/>
    <w:rsid w:val="00AA57F3"/>
    <w:rsid w:val="00AA5DD7"/>
    <w:rsid w:val="00AA5ED7"/>
    <w:rsid w:val="00AA601D"/>
    <w:rsid w:val="00AA697A"/>
    <w:rsid w:val="00AA6DF8"/>
    <w:rsid w:val="00AA75AB"/>
    <w:rsid w:val="00AB09CE"/>
    <w:rsid w:val="00AB33F5"/>
    <w:rsid w:val="00AB7F81"/>
    <w:rsid w:val="00AC0793"/>
    <w:rsid w:val="00AC1554"/>
    <w:rsid w:val="00AC1FD8"/>
    <w:rsid w:val="00AC2877"/>
    <w:rsid w:val="00AC2A66"/>
    <w:rsid w:val="00AC3172"/>
    <w:rsid w:val="00AC58A8"/>
    <w:rsid w:val="00AC6965"/>
    <w:rsid w:val="00AC6A15"/>
    <w:rsid w:val="00AC6DFB"/>
    <w:rsid w:val="00AC732B"/>
    <w:rsid w:val="00AC76B0"/>
    <w:rsid w:val="00AD0431"/>
    <w:rsid w:val="00AD118A"/>
    <w:rsid w:val="00AD1E0D"/>
    <w:rsid w:val="00AD23AE"/>
    <w:rsid w:val="00AD6864"/>
    <w:rsid w:val="00AE02E2"/>
    <w:rsid w:val="00AE039A"/>
    <w:rsid w:val="00AE07CF"/>
    <w:rsid w:val="00AE38D4"/>
    <w:rsid w:val="00AE3E86"/>
    <w:rsid w:val="00AE3ED6"/>
    <w:rsid w:val="00AE4689"/>
    <w:rsid w:val="00AE6BB5"/>
    <w:rsid w:val="00AE794D"/>
    <w:rsid w:val="00AF1602"/>
    <w:rsid w:val="00AF178D"/>
    <w:rsid w:val="00AF26B7"/>
    <w:rsid w:val="00AF2BF0"/>
    <w:rsid w:val="00AF2E32"/>
    <w:rsid w:val="00AF4DFD"/>
    <w:rsid w:val="00AF592C"/>
    <w:rsid w:val="00AF73F9"/>
    <w:rsid w:val="00B00CD2"/>
    <w:rsid w:val="00B01CCF"/>
    <w:rsid w:val="00B02D00"/>
    <w:rsid w:val="00B0470B"/>
    <w:rsid w:val="00B05E1B"/>
    <w:rsid w:val="00B066CA"/>
    <w:rsid w:val="00B077E3"/>
    <w:rsid w:val="00B10033"/>
    <w:rsid w:val="00B10093"/>
    <w:rsid w:val="00B105D5"/>
    <w:rsid w:val="00B11A9D"/>
    <w:rsid w:val="00B123AD"/>
    <w:rsid w:val="00B1338D"/>
    <w:rsid w:val="00B15040"/>
    <w:rsid w:val="00B156E5"/>
    <w:rsid w:val="00B16127"/>
    <w:rsid w:val="00B168EE"/>
    <w:rsid w:val="00B17256"/>
    <w:rsid w:val="00B212F1"/>
    <w:rsid w:val="00B2345E"/>
    <w:rsid w:val="00B234F9"/>
    <w:rsid w:val="00B24541"/>
    <w:rsid w:val="00B24C04"/>
    <w:rsid w:val="00B26BBE"/>
    <w:rsid w:val="00B27A56"/>
    <w:rsid w:val="00B27D25"/>
    <w:rsid w:val="00B3219B"/>
    <w:rsid w:val="00B33B69"/>
    <w:rsid w:val="00B34575"/>
    <w:rsid w:val="00B3459F"/>
    <w:rsid w:val="00B35CC0"/>
    <w:rsid w:val="00B37055"/>
    <w:rsid w:val="00B40EBB"/>
    <w:rsid w:val="00B40F7D"/>
    <w:rsid w:val="00B41EA3"/>
    <w:rsid w:val="00B43C53"/>
    <w:rsid w:val="00B45076"/>
    <w:rsid w:val="00B46CB7"/>
    <w:rsid w:val="00B47F88"/>
    <w:rsid w:val="00B50AF3"/>
    <w:rsid w:val="00B50C01"/>
    <w:rsid w:val="00B52714"/>
    <w:rsid w:val="00B54403"/>
    <w:rsid w:val="00B54C68"/>
    <w:rsid w:val="00B55CDC"/>
    <w:rsid w:val="00B62EB4"/>
    <w:rsid w:val="00B7095C"/>
    <w:rsid w:val="00B73243"/>
    <w:rsid w:val="00B74262"/>
    <w:rsid w:val="00B74840"/>
    <w:rsid w:val="00B74C7A"/>
    <w:rsid w:val="00B75C06"/>
    <w:rsid w:val="00B76953"/>
    <w:rsid w:val="00B81F0F"/>
    <w:rsid w:val="00B84A41"/>
    <w:rsid w:val="00B8560D"/>
    <w:rsid w:val="00B87B5F"/>
    <w:rsid w:val="00B92138"/>
    <w:rsid w:val="00B940BE"/>
    <w:rsid w:val="00B9422F"/>
    <w:rsid w:val="00B946D6"/>
    <w:rsid w:val="00B95D5B"/>
    <w:rsid w:val="00B97D89"/>
    <w:rsid w:val="00B97F95"/>
    <w:rsid w:val="00BA0DEF"/>
    <w:rsid w:val="00BA0E84"/>
    <w:rsid w:val="00BA1CBD"/>
    <w:rsid w:val="00BA2804"/>
    <w:rsid w:val="00BA2B33"/>
    <w:rsid w:val="00BA5579"/>
    <w:rsid w:val="00BA562A"/>
    <w:rsid w:val="00BA68A3"/>
    <w:rsid w:val="00BA69FE"/>
    <w:rsid w:val="00BA71F2"/>
    <w:rsid w:val="00BB0A4A"/>
    <w:rsid w:val="00BB109E"/>
    <w:rsid w:val="00BB2313"/>
    <w:rsid w:val="00BB24A1"/>
    <w:rsid w:val="00BB3AA9"/>
    <w:rsid w:val="00BB6831"/>
    <w:rsid w:val="00BB77EA"/>
    <w:rsid w:val="00BB7CBF"/>
    <w:rsid w:val="00BB7E83"/>
    <w:rsid w:val="00BC0546"/>
    <w:rsid w:val="00BC4BC1"/>
    <w:rsid w:val="00BC4CD6"/>
    <w:rsid w:val="00BD0103"/>
    <w:rsid w:val="00BD100B"/>
    <w:rsid w:val="00BD1715"/>
    <w:rsid w:val="00BD27A7"/>
    <w:rsid w:val="00BD3F62"/>
    <w:rsid w:val="00BD5B3B"/>
    <w:rsid w:val="00BE0212"/>
    <w:rsid w:val="00BE0525"/>
    <w:rsid w:val="00BE140C"/>
    <w:rsid w:val="00BE3E12"/>
    <w:rsid w:val="00BE57DC"/>
    <w:rsid w:val="00BF11F0"/>
    <w:rsid w:val="00BF11F6"/>
    <w:rsid w:val="00BF23D1"/>
    <w:rsid w:val="00BF2703"/>
    <w:rsid w:val="00BF28AF"/>
    <w:rsid w:val="00BF31E9"/>
    <w:rsid w:val="00BF55E0"/>
    <w:rsid w:val="00BF6D06"/>
    <w:rsid w:val="00BF743A"/>
    <w:rsid w:val="00C00DB2"/>
    <w:rsid w:val="00C0160D"/>
    <w:rsid w:val="00C030EA"/>
    <w:rsid w:val="00C037CA"/>
    <w:rsid w:val="00C03F22"/>
    <w:rsid w:val="00C04110"/>
    <w:rsid w:val="00C0508E"/>
    <w:rsid w:val="00C0626B"/>
    <w:rsid w:val="00C066F4"/>
    <w:rsid w:val="00C10634"/>
    <w:rsid w:val="00C127C3"/>
    <w:rsid w:val="00C15CBC"/>
    <w:rsid w:val="00C16471"/>
    <w:rsid w:val="00C17752"/>
    <w:rsid w:val="00C17A39"/>
    <w:rsid w:val="00C20273"/>
    <w:rsid w:val="00C205B2"/>
    <w:rsid w:val="00C2139A"/>
    <w:rsid w:val="00C21D5D"/>
    <w:rsid w:val="00C25622"/>
    <w:rsid w:val="00C3109D"/>
    <w:rsid w:val="00C332FE"/>
    <w:rsid w:val="00C34AE5"/>
    <w:rsid w:val="00C34C52"/>
    <w:rsid w:val="00C354A4"/>
    <w:rsid w:val="00C35690"/>
    <w:rsid w:val="00C37B54"/>
    <w:rsid w:val="00C4154B"/>
    <w:rsid w:val="00C4337B"/>
    <w:rsid w:val="00C460E5"/>
    <w:rsid w:val="00C46F07"/>
    <w:rsid w:val="00C5094E"/>
    <w:rsid w:val="00C50977"/>
    <w:rsid w:val="00C509EA"/>
    <w:rsid w:val="00C51A40"/>
    <w:rsid w:val="00C52307"/>
    <w:rsid w:val="00C5410A"/>
    <w:rsid w:val="00C545DF"/>
    <w:rsid w:val="00C6081B"/>
    <w:rsid w:val="00C60AE1"/>
    <w:rsid w:val="00C60DAE"/>
    <w:rsid w:val="00C61D10"/>
    <w:rsid w:val="00C64890"/>
    <w:rsid w:val="00C64A3C"/>
    <w:rsid w:val="00C6535B"/>
    <w:rsid w:val="00C653A0"/>
    <w:rsid w:val="00C6595F"/>
    <w:rsid w:val="00C65DA0"/>
    <w:rsid w:val="00C66DB3"/>
    <w:rsid w:val="00C701EE"/>
    <w:rsid w:val="00C71A8B"/>
    <w:rsid w:val="00C71CBC"/>
    <w:rsid w:val="00C72213"/>
    <w:rsid w:val="00C74010"/>
    <w:rsid w:val="00C74E63"/>
    <w:rsid w:val="00C76D17"/>
    <w:rsid w:val="00C77EB2"/>
    <w:rsid w:val="00C821F9"/>
    <w:rsid w:val="00C84128"/>
    <w:rsid w:val="00C844F3"/>
    <w:rsid w:val="00C86047"/>
    <w:rsid w:val="00C865B2"/>
    <w:rsid w:val="00C86C4F"/>
    <w:rsid w:val="00C87D1C"/>
    <w:rsid w:val="00C93DAA"/>
    <w:rsid w:val="00C949D6"/>
    <w:rsid w:val="00C95EE9"/>
    <w:rsid w:val="00C967A1"/>
    <w:rsid w:val="00CA0879"/>
    <w:rsid w:val="00CA0A7C"/>
    <w:rsid w:val="00CA0F05"/>
    <w:rsid w:val="00CA191C"/>
    <w:rsid w:val="00CA36AF"/>
    <w:rsid w:val="00CA3882"/>
    <w:rsid w:val="00CA43EF"/>
    <w:rsid w:val="00CA52B9"/>
    <w:rsid w:val="00CA6AA7"/>
    <w:rsid w:val="00CB059E"/>
    <w:rsid w:val="00CB335E"/>
    <w:rsid w:val="00CB4078"/>
    <w:rsid w:val="00CB43AD"/>
    <w:rsid w:val="00CB67E9"/>
    <w:rsid w:val="00CB6D53"/>
    <w:rsid w:val="00CB75F5"/>
    <w:rsid w:val="00CC1180"/>
    <w:rsid w:val="00CC153D"/>
    <w:rsid w:val="00CC15D7"/>
    <w:rsid w:val="00CC39AC"/>
    <w:rsid w:val="00CC44AD"/>
    <w:rsid w:val="00CC4B34"/>
    <w:rsid w:val="00CC5963"/>
    <w:rsid w:val="00CD0157"/>
    <w:rsid w:val="00CD1063"/>
    <w:rsid w:val="00CD1FDD"/>
    <w:rsid w:val="00CD22D5"/>
    <w:rsid w:val="00CD3E27"/>
    <w:rsid w:val="00CD49C0"/>
    <w:rsid w:val="00CD4C6F"/>
    <w:rsid w:val="00CD66A6"/>
    <w:rsid w:val="00CD7EC1"/>
    <w:rsid w:val="00CE1E1F"/>
    <w:rsid w:val="00CE3B2D"/>
    <w:rsid w:val="00CE4142"/>
    <w:rsid w:val="00CF16F2"/>
    <w:rsid w:val="00CF18CD"/>
    <w:rsid w:val="00CF496F"/>
    <w:rsid w:val="00D00BA6"/>
    <w:rsid w:val="00D01551"/>
    <w:rsid w:val="00D01D0E"/>
    <w:rsid w:val="00D02545"/>
    <w:rsid w:val="00D03B69"/>
    <w:rsid w:val="00D054B4"/>
    <w:rsid w:val="00D05C4A"/>
    <w:rsid w:val="00D06254"/>
    <w:rsid w:val="00D10031"/>
    <w:rsid w:val="00D13741"/>
    <w:rsid w:val="00D139C0"/>
    <w:rsid w:val="00D16497"/>
    <w:rsid w:val="00D1672B"/>
    <w:rsid w:val="00D22470"/>
    <w:rsid w:val="00D226A9"/>
    <w:rsid w:val="00D23291"/>
    <w:rsid w:val="00D25D6F"/>
    <w:rsid w:val="00D268B4"/>
    <w:rsid w:val="00D276FD"/>
    <w:rsid w:val="00D30E47"/>
    <w:rsid w:val="00D30E99"/>
    <w:rsid w:val="00D36777"/>
    <w:rsid w:val="00D37CCF"/>
    <w:rsid w:val="00D4362B"/>
    <w:rsid w:val="00D46561"/>
    <w:rsid w:val="00D50DF0"/>
    <w:rsid w:val="00D51F08"/>
    <w:rsid w:val="00D520C4"/>
    <w:rsid w:val="00D538B6"/>
    <w:rsid w:val="00D53B66"/>
    <w:rsid w:val="00D550D4"/>
    <w:rsid w:val="00D55646"/>
    <w:rsid w:val="00D556C8"/>
    <w:rsid w:val="00D5713E"/>
    <w:rsid w:val="00D57B15"/>
    <w:rsid w:val="00D57B9A"/>
    <w:rsid w:val="00D6158B"/>
    <w:rsid w:val="00D61B7D"/>
    <w:rsid w:val="00D623A9"/>
    <w:rsid w:val="00D62A9F"/>
    <w:rsid w:val="00D6425B"/>
    <w:rsid w:val="00D64386"/>
    <w:rsid w:val="00D65763"/>
    <w:rsid w:val="00D66D4B"/>
    <w:rsid w:val="00D702C1"/>
    <w:rsid w:val="00D70F0C"/>
    <w:rsid w:val="00D70F60"/>
    <w:rsid w:val="00D739DA"/>
    <w:rsid w:val="00D73B6C"/>
    <w:rsid w:val="00D74A11"/>
    <w:rsid w:val="00D75431"/>
    <w:rsid w:val="00D765C8"/>
    <w:rsid w:val="00D76F7E"/>
    <w:rsid w:val="00D7764A"/>
    <w:rsid w:val="00D806A1"/>
    <w:rsid w:val="00D86771"/>
    <w:rsid w:val="00D87E73"/>
    <w:rsid w:val="00D910CB"/>
    <w:rsid w:val="00D93051"/>
    <w:rsid w:val="00D93F17"/>
    <w:rsid w:val="00DA00D1"/>
    <w:rsid w:val="00DA4B5F"/>
    <w:rsid w:val="00DA518C"/>
    <w:rsid w:val="00DA6579"/>
    <w:rsid w:val="00DB020E"/>
    <w:rsid w:val="00DB34D6"/>
    <w:rsid w:val="00DB402B"/>
    <w:rsid w:val="00DB5B9F"/>
    <w:rsid w:val="00DB5E2C"/>
    <w:rsid w:val="00DB6724"/>
    <w:rsid w:val="00DB6A0D"/>
    <w:rsid w:val="00DB6AD4"/>
    <w:rsid w:val="00DC1725"/>
    <w:rsid w:val="00DC19D8"/>
    <w:rsid w:val="00DC1DAF"/>
    <w:rsid w:val="00DC27B9"/>
    <w:rsid w:val="00DD07EB"/>
    <w:rsid w:val="00DD0A99"/>
    <w:rsid w:val="00DD1481"/>
    <w:rsid w:val="00DD1AD6"/>
    <w:rsid w:val="00DD2357"/>
    <w:rsid w:val="00DD2926"/>
    <w:rsid w:val="00DD2A36"/>
    <w:rsid w:val="00DD30C9"/>
    <w:rsid w:val="00DD3722"/>
    <w:rsid w:val="00DD3FFD"/>
    <w:rsid w:val="00DD54DC"/>
    <w:rsid w:val="00DD6043"/>
    <w:rsid w:val="00DD676E"/>
    <w:rsid w:val="00DD6A08"/>
    <w:rsid w:val="00DD7499"/>
    <w:rsid w:val="00DE21B0"/>
    <w:rsid w:val="00DE2E23"/>
    <w:rsid w:val="00DE2E9F"/>
    <w:rsid w:val="00DE7C65"/>
    <w:rsid w:val="00DF0651"/>
    <w:rsid w:val="00DF0C63"/>
    <w:rsid w:val="00DF1983"/>
    <w:rsid w:val="00DF1E19"/>
    <w:rsid w:val="00DF30B7"/>
    <w:rsid w:val="00DF35E8"/>
    <w:rsid w:val="00DF3C9A"/>
    <w:rsid w:val="00DF3CE9"/>
    <w:rsid w:val="00DF4050"/>
    <w:rsid w:val="00DF45A6"/>
    <w:rsid w:val="00DF4F99"/>
    <w:rsid w:val="00DF5E5A"/>
    <w:rsid w:val="00DF60FC"/>
    <w:rsid w:val="00DF6447"/>
    <w:rsid w:val="00DF661A"/>
    <w:rsid w:val="00DF6AAE"/>
    <w:rsid w:val="00E02433"/>
    <w:rsid w:val="00E0257E"/>
    <w:rsid w:val="00E06283"/>
    <w:rsid w:val="00E06B2B"/>
    <w:rsid w:val="00E074E8"/>
    <w:rsid w:val="00E07A14"/>
    <w:rsid w:val="00E11608"/>
    <w:rsid w:val="00E1216D"/>
    <w:rsid w:val="00E13156"/>
    <w:rsid w:val="00E13F2C"/>
    <w:rsid w:val="00E15510"/>
    <w:rsid w:val="00E1635F"/>
    <w:rsid w:val="00E16553"/>
    <w:rsid w:val="00E17C74"/>
    <w:rsid w:val="00E20182"/>
    <w:rsid w:val="00E210AB"/>
    <w:rsid w:val="00E219D9"/>
    <w:rsid w:val="00E23B0C"/>
    <w:rsid w:val="00E241DA"/>
    <w:rsid w:val="00E2594C"/>
    <w:rsid w:val="00E27887"/>
    <w:rsid w:val="00E30B7F"/>
    <w:rsid w:val="00E31F6A"/>
    <w:rsid w:val="00E3207D"/>
    <w:rsid w:val="00E32193"/>
    <w:rsid w:val="00E33E1C"/>
    <w:rsid w:val="00E33F96"/>
    <w:rsid w:val="00E36502"/>
    <w:rsid w:val="00E36B13"/>
    <w:rsid w:val="00E36FF2"/>
    <w:rsid w:val="00E371F6"/>
    <w:rsid w:val="00E40899"/>
    <w:rsid w:val="00E4182E"/>
    <w:rsid w:val="00E43DF8"/>
    <w:rsid w:val="00E47039"/>
    <w:rsid w:val="00E52C8E"/>
    <w:rsid w:val="00E52DEC"/>
    <w:rsid w:val="00E560B3"/>
    <w:rsid w:val="00E56CA5"/>
    <w:rsid w:val="00E57530"/>
    <w:rsid w:val="00E602E0"/>
    <w:rsid w:val="00E62D95"/>
    <w:rsid w:val="00E62E3B"/>
    <w:rsid w:val="00E62E7B"/>
    <w:rsid w:val="00E64C10"/>
    <w:rsid w:val="00E673A5"/>
    <w:rsid w:val="00E67DD3"/>
    <w:rsid w:val="00E715B8"/>
    <w:rsid w:val="00E741C6"/>
    <w:rsid w:val="00E77351"/>
    <w:rsid w:val="00E8181E"/>
    <w:rsid w:val="00E82004"/>
    <w:rsid w:val="00E82DBD"/>
    <w:rsid w:val="00E82E28"/>
    <w:rsid w:val="00E83912"/>
    <w:rsid w:val="00E83E55"/>
    <w:rsid w:val="00E85E7B"/>
    <w:rsid w:val="00E86C96"/>
    <w:rsid w:val="00E86D08"/>
    <w:rsid w:val="00E873A0"/>
    <w:rsid w:val="00E90891"/>
    <w:rsid w:val="00E955BA"/>
    <w:rsid w:val="00E95C10"/>
    <w:rsid w:val="00E9618A"/>
    <w:rsid w:val="00E972C3"/>
    <w:rsid w:val="00EA0CE2"/>
    <w:rsid w:val="00EA2559"/>
    <w:rsid w:val="00EA37F5"/>
    <w:rsid w:val="00EA4519"/>
    <w:rsid w:val="00EA481C"/>
    <w:rsid w:val="00EA4AEB"/>
    <w:rsid w:val="00EA5046"/>
    <w:rsid w:val="00EA5AA3"/>
    <w:rsid w:val="00EA5BF7"/>
    <w:rsid w:val="00EA5CC5"/>
    <w:rsid w:val="00EA5DE8"/>
    <w:rsid w:val="00EA622A"/>
    <w:rsid w:val="00EB03BD"/>
    <w:rsid w:val="00EB17B5"/>
    <w:rsid w:val="00EB3284"/>
    <w:rsid w:val="00EB6ED6"/>
    <w:rsid w:val="00EB783E"/>
    <w:rsid w:val="00EC008E"/>
    <w:rsid w:val="00EC1835"/>
    <w:rsid w:val="00EC36D2"/>
    <w:rsid w:val="00EC3A10"/>
    <w:rsid w:val="00EC4689"/>
    <w:rsid w:val="00EC63C9"/>
    <w:rsid w:val="00EC6ABE"/>
    <w:rsid w:val="00EC7DCB"/>
    <w:rsid w:val="00ED4172"/>
    <w:rsid w:val="00EE1361"/>
    <w:rsid w:val="00EE344F"/>
    <w:rsid w:val="00EE4432"/>
    <w:rsid w:val="00EE4DEA"/>
    <w:rsid w:val="00EE5A97"/>
    <w:rsid w:val="00EF0458"/>
    <w:rsid w:val="00EF13D7"/>
    <w:rsid w:val="00EF1C11"/>
    <w:rsid w:val="00EF210B"/>
    <w:rsid w:val="00EF2583"/>
    <w:rsid w:val="00EF3915"/>
    <w:rsid w:val="00EF44F1"/>
    <w:rsid w:val="00EF592D"/>
    <w:rsid w:val="00EF5D37"/>
    <w:rsid w:val="00EF7574"/>
    <w:rsid w:val="00EF7CC1"/>
    <w:rsid w:val="00F00834"/>
    <w:rsid w:val="00F01821"/>
    <w:rsid w:val="00F02141"/>
    <w:rsid w:val="00F067D4"/>
    <w:rsid w:val="00F07265"/>
    <w:rsid w:val="00F110AF"/>
    <w:rsid w:val="00F12ACD"/>
    <w:rsid w:val="00F149EB"/>
    <w:rsid w:val="00F14D9F"/>
    <w:rsid w:val="00F152B3"/>
    <w:rsid w:val="00F153F7"/>
    <w:rsid w:val="00F15F67"/>
    <w:rsid w:val="00F173BB"/>
    <w:rsid w:val="00F178C4"/>
    <w:rsid w:val="00F2321C"/>
    <w:rsid w:val="00F234FA"/>
    <w:rsid w:val="00F23B4D"/>
    <w:rsid w:val="00F23C53"/>
    <w:rsid w:val="00F23CDB"/>
    <w:rsid w:val="00F2458D"/>
    <w:rsid w:val="00F250CC"/>
    <w:rsid w:val="00F30E77"/>
    <w:rsid w:val="00F31511"/>
    <w:rsid w:val="00F31A13"/>
    <w:rsid w:val="00F31ABE"/>
    <w:rsid w:val="00F31CB3"/>
    <w:rsid w:val="00F31EFA"/>
    <w:rsid w:val="00F31F66"/>
    <w:rsid w:val="00F32DE7"/>
    <w:rsid w:val="00F334D6"/>
    <w:rsid w:val="00F33B19"/>
    <w:rsid w:val="00F34687"/>
    <w:rsid w:val="00F3499C"/>
    <w:rsid w:val="00F35686"/>
    <w:rsid w:val="00F3605A"/>
    <w:rsid w:val="00F375CB"/>
    <w:rsid w:val="00F4060D"/>
    <w:rsid w:val="00F40D42"/>
    <w:rsid w:val="00F40F21"/>
    <w:rsid w:val="00F4460C"/>
    <w:rsid w:val="00F46283"/>
    <w:rsid w:val="00F47085"/>
    <w:rsid w:val="00F47FB8"/>
    <w:rsid w:val="00F526A7"/>
    <w:rsid w:val="00F53431"/>
    <w:rsid w:val="00F543E2"/>
    <w:rsid w:val="00F553BF"/>
    <w:rsid w:val="00F55693"/>
    <w:rsid w:val="00F55D2D"/>
    <w:rsid w:val="00F571ED"/>
    <w:rsid w:val="00F64691"/>
    <w:rsid w:val="00F674C9"/>
    <w:rsid w:val="00F71CE9"/>
    <w:rsid w:val="00F7237E"/>
    <w:rsid w:val="00F727A4"/>
    <w:rsid w:val="00F73030"/>
    <w:rsid w:val="00F74548"/>
    <w:rsid w:val="00F751D6"/>
    <w:rsid w:val="00F7601C"/>
    <w:rsid w:val="00F77619"/>
    <w:rsid w:val="00F81E30"/>
    <w:rsid w:val="00F85E58"/>
    <w:rsid w:val="00F90089"/>
    <w:rsid w:val="00F90A82"/>
    <w:rsid w:val="00F9128C"/>
    <w:rsid w:val="00F9212F"/>
    <w:rsid w:val="00F9224C"/>
    <w:rsid w:val="00F92A94"/>
    <w:rsid w:val="00F92B32"/>
    <w:rsid w:val="00F92C5A"/>
    <w:rsid w:val="00F97A06"/>
    <w:rsid w:val="00FA1A5A"/>
    <w:rsid w:val="00FA1E7C"/>
    <w:rsid w:val="00FA2842"/>
    <w:rsid w:val="00FA3553"/>
    <w:rsid w:val="00FA4437"/>
    <w:rsid w:val="00FA5942"/>
    <w:rsid w:val="00FA5E3E"/>
    <w:rsid w:val="00FA7372"/>
    <w:rsid w:val="00FA7D37"/>
    <w:rsid w:val="00FB072B"/>
    <w:rsid w:val="00FB0D28"/>
    <w:rsid w:val="00FB1C3E"/>
    <w:rsid w:val="00FB2985"/>
    <w:rsid w:val="00FB34D6"/>
    <w:rsid w:val="00FB40D8"/>
    <w:rsid w:val="00FC0D7A"/>
    <w:rsid w:val="00FC31BF"/>
    <w:rsid w:val="00FC32BD"/>
    <w:rsid w:val="00FC3F84"/>
    <w:rsid w:val="00FC41AB"/>
    <w:rsid w:val="00FC45A8"/>
    <w:rsid w:val="00FC4C70"/>
    <w:rsid w:val="00FC5C4C"/>
    <w:rsid w:val="00FC7013"/>
    <w:rsid w:val="00FD03DD"/>
    <w:rsid w:val="00FD2C92"/>
    <w:rsid w:val="00FD3D09"/>
    <w:rsid w:val="00FD4577"/>
    <w:rsid w:val="00FD4858"/>
    <w:rsid w:val="00FD4CD8"/>
    <w:rsid w:val="00FD5E6A"/>
    <w:rsid w:val="00FD6E05"/>
    <w:rsid w:val="00FD7FB8"/>
    <w:rsid w:val="00FE0BF2"/>
    <w:rsid w:val="00FE2679"/>
    <w:rsid w:val="00FE3A2B"/>
    <w:rsid w:val="00FE3D15"/>
    <w:rsid w:val="00FE5809"/>
    <w:rsid w:val="00FE6565"/>
    <w:rsid w:val="00FE6D0F"/>
    <w:rsid w:val="00FE7287"/>
    <w:rsid w:val="00FE7DFD"/>
    <w:rsid w:val="00FF1DAF"/>
    <w:rsid w:val="00FF20DD"/>
    <w:rsid w:val="00FF38C6"/>
    <w:rsid w:val="00FF4012"/>
    <w:rsid w:val="00FF4032"/>
    <w:rsid w:val="00FF6ED3"/>
    <w:rsid w:val="00FF7131"/>
    <w:rsid w:val="00FF7BC5"/>
    <w:rsid w:val="00FF7BED"/>
    <w:rsid w:val="00FF7D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3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EE4DEA"/>
  </w:style>
  <w:style w:type="paragraph" w:styleId="ListParagraph">
    <w:name w:val="List Paragraph"/>
    <w:basedOn w:val="Normal"/>
    <w:uiPriority w:val="34"/>
    <w:qFormat/>
    <w:rsid w:val="000B0F4E"/>
    <w:pPr>
      <w:ind w:left="720"/>
      <w:contextualSpacing/>
    </w:pPr>
  </w:style>
  <w:style w:type="character" w:styleId="Hyperlink">
    <w:name w:val="Hyperlink"/>
    <w:basedOn w:val="DefaultParagraphFont"/>
    <w:uiPriority w:val="99"/>
    <w:unhideWhenUsed/>
    <w:rsid w:val="000E6716"/>
    <w:rPr>
      <w:color w:val="0000FF" w:themeColor="hyperlink"/>
      <w:u w:val="single"/>
    </w:rPr>
  </w:style>
  <w:style w:type="character" w:styleId="FollowedHyperlink">
    <w:name w:val="FollowedHyperlink"/>
    <w:basedOn w:val="DefaultParagraphFont"/>
    <w:uiPriority w:val="99"/>
    <w:semiHidden/>
    <w:unhideWhenUsed/>
    <w:rsid w:val="00516D9C"/>
    <w:rPr>
      <w:color w:val="800080" w:themeColor="followedHyperlink"/>
      <w:u w:val="single"/>
    </w:rPr>
  </w:style>
  <w:style w:type="character" w:styleId="CommentReference">
    <w:name w:val="annotation reference"/>
    <w:basedOn w:val="DefaultParagraphFont"/>
    <w:uiPriority w:val="99"/>
    <w:semiHidden/>
    <w:unhideWhenUsed/>
    <w:rsid w:val="003C32D6"/>
    <w:rPr>
      <w:sz w:val="16"/>
      <w:szCs w:val="16"/>
    </w:rPr>
  </w:style>
  <w:style w:type="paragraph" w:styleId="CommentText">
    <w:name w:val="annotation text"/>
    <w:basedOn w:val="Normal"/>
    <w:link w:val="CommentTextChar"/>
    <w:uiPriority w:val="99"/>
    <w:semiHidden/>
    <w:unhideWhenUsed/>
    <w:rsid w:val="003C32D6"/>
    <w:pPr>
      <w:spacing w:line="240" w:lineRule="auto"/>
    </w:pPr>
    <w:rPr>
      <w:sz w:val="20"/>
      <w:szCs w:val="20"/>
    </w:rPr>
  </w:style>
  <w:style w:type="character" w:customStyle="1" w:styleId="CommentTextChar">
    <w:name w:val="Comment Text Char"/>
    <w:basedOn w:val="DefaultParagraphFont"/>
    <w:link w:val="CommentText"/>
    <w:uiPriority w:val="99"/>
    <w:semiHidden/>
    <w:rsid w:val="003C32D6"/>
    <w:rPr>
      <w:sz w:val="20"/>
      <w:szCs w:val="20"/>
    </w:rPr>
  </w:style>
  <w:style w:type="paragraph" w:styleId="CommentSubject">
    <w:name w:val="annotation subject"/>
    <w:basedOn w:val="CommentText"/>
    <w:next w:val="CommentText"/>
    <w:link w:val="CommentSubjectChar"/>
    <w:uiPriority w:val="99"/>
    <w:semiHidden/>
    <w:unhideWhenUsed/>
    <w:rsid w:val="003C32D6"/>
    <w:rPr>
      <w:b/>
      <w:bCs/>
    </w:rPr>
  </w:style>
  <w:style w:type="character" w:customStyle="1" w:styleId="CommentSubjectChar">
    <w:name w:val="Comment Subject Char"/>
    <w:basedOn w:val="CommentTextChar"/>
    <w:link w:val="CommentSubject"/>
    <w:uiPriority w:val="99"/>
    <w:semiHidden/>
    <w:rsid w:val="003C32D6"/>
    <w:rPr>
      <w:b/>
      <w:bCs/>
      <w:sz w:val="20"/>
      <w:szCs w:val="20"/>
    </w:rPr>
  </w:style>
  <w:style w:type="paragraph" w:styleId="BalloonText">
    <w:name w:val="Balloon Text"/>
    <w:basedOn w:val="Normal"/>
    <w:link w:val="BalloonTextChar"/>
    <w:uiPriority w:val="99"/>
    <w:semiHidden/>
    <w:unhideWhenUsed/>
    <w:rsid w:val="003C32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32D6"/>
    <w:rPr>
      <w:rFonts w:ascii="Tahoma" w:hAnsi="Tahoma" w:cs="Tahoma"/>
      <w:sz w:val="16"/>
      <w:szCs w:val="16"/>
    </w:rPr>
  </w:style>
  <w:style w:type="paragraph" w:styleId="Header">
    <w:name w:val="header"/>
    <w:basedOn w:val="Normal"/>
    <w:link w:val="HeaderChar"/>
    <w:uiPriority w:val="99"/>
    <w:unhideWhenUsed/>
    <w:rsid w:val="00C95E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5EE9"/>
  </w:style>
  <w:style w:type="paragraph" w:styleId="Footer">
    <w:name w:val="footer"/>
    <w:basedOn w:val="Normal"/>
    <w:link w:val="FooterChar"/>
    <w:uiPriority w:val="99"/>
    <w:unhideWhenUsed/>
    <w:rsid w:val="00C95E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5EE9"/>
  </w:style>
  <w:style w:type="paragraph" w:styleId="NormalWeb">
    <w:name w:val="Normal (Web)"/>
    <w:basedOn w:val="Normal"/>
    <w:uiPriority w:val="99"/>
    <w:semiHidden/>
    <w:unhideWhenUsed/>
    <w:rsid w:val="00873EE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2A7147"/>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A849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9933F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rsid w:val="005A504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List1">
    <w:name w:val="Medium List 1"/>
    <w:basedOn w:val="TableNormal"/>
    <w:uiPriority w:val="65"/>
    <w:rsid w:val="005A5042"/>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3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EE4DEA"/>
  </w:style>
  <w:style w:type="paragraph" w:styleId="ListParagraph">
    <w:name w:val="List Paragraph"/>
    <w:basedOn w:val="Normal"/>
    <w:uiPriority w:val="34"/>
    <w:qFormat/>
    <w:rsid w:val="000B0F4E"/>
    <w:pPr>
      <w:ind w:left="720"/>
      <w:contextualSpacing/>
    </w:pPr>
  </w:style>
  <w:style w:type="character" w:styleId="Hyperlink">
    <w:name w:val="Hyperlink"/>
    <w:basedOn w:val="DefaultParagraphFont"/>
    <w:uiPriority w:val="99"/>
    <w:unhideWhenUsed/>
    <w:rsid w:val="000E6716"/>
    <w:rPr>
      <w:color w:val="0000FF" w:themeColor="hyperlink"/>
      <w:u w:val="single"/>
    </w:rPr>
  </w:style>
  <w:style w:type="character" w:styleId="FollowedHyperlink">
    <w:name w:val="FollowedHyperlink"/>
    <w:basedOn w:val="DefaultParagraphFont"/>
    <w:uiPriority w:val="99"/>
    <w:semiHidden/>
    <w:unhideWhenUsed/>
    <w:rsid w:val="00516D9C"/>
    <w:rPr>
      <w:color w:val="800080" w:themeColor="followedHyperlink"/>
      <w:u w:val="single"/>
    </w:rPr>
  </w:style>
  <w:style w:type="character" w:styleId="CommentReference">
    <w:name w:val="annotation reference"/>
    <w:basedOn w:val="DefaultParagraphFont"/>
    <w:uiPriority w:val="99"/>
    <w:semiHidden/>
    <w:unhideWhenUsed/>
    <w:rsid w:val="003C32D6"/>
    <w:rPr>
      <w:sz w:val="16"/>
      <w:szCs w:val="16"/>
    </w:rPr>
  </w:style>
  <w:style w:type="paragraph" w:styleId="CommentText">
    <w:name w:val="annotation text"/>
    <w:basedOn w:val="Normal"/>
    <w:link w:val="CommentTextChar"/>
    <w:uiPriority w:val="99"/>
    <w:semiHidden/>
    <w:unhideWhenUsed/>
    <w:rsid w:val="003C32D6"/>
    <w:pPr>
      <w:spacing w:line="240" w:lineRule="auto"/>
    </w:pPr>
    <w:rPr>
      <w:sz w:val="20"/>
      <w:szCs w:val="20"/>
    </w:rPr>
  </w:style>
  <w:style w:type="character" w:customStyle="1" w:styleId="CommentTextChar">
    <w:name w:val="Comment Text Char"/>
    <w:basedOn w:val="DefaultParagraphFont"/>
    <w:link w:val="CommentText"/>
    <w:uiPriority w:val="99"/>
    <w:semiHidden/>
    <w:rsid w:val="003C32D6"/>
    <w:rPr>
      <w:sz w:val="20"/>
      <w:szCs w:val="20"/>
    </w:rPr>
  </w:style>
  <w:style w:type="paragraph" w:styleId="CommentSubject">
    <w:name w:val="annotation subject"/>
    <w:basedOn w:val="CommentText"/>
    <w:next w:val="CommentText"/>
    <w:link w:val="CommentSubjectChar"/>
    <w:uiPriority w:val="99"/>
    <w:semiHidden/>
    <w:unhideWhenUsed/>
    <w:rsid w:val="003C32D6"/>
    <w:rPr>
      <w:b/>
      <w:bCs/>
    </w:rPr>
  </w:style>
  <w:style w:type="character" w:customStyle="1" w:styleId="CommentSubjectChar">
    <w:name w:val="Comment Subject Char"/>
    <w:basedOn w:val="CommentTextChar"/>
    <w:link w:val="CommentSubject"/>
    <w:uiPriority w:val="99"/>
    <w:semiHidden/>
    <w:rsid w:val="003C32D6"/>
    <w:rPr>
      <w:b/>
      <w:bCs/>
      <w:sz w:val="20"/>
      <w:szCs w:val="20"/>
    </w:rPr>
  </w:style>
  <w:style w:type="paragraph" w:styleId="BalloonText">
    <w:name w:val="Balloon Text"/>
    <w:basedOn w:val="Normal"/>
    <w:link w:val="BalloonTextChar"/>
    <w:uiPriority w:val="99"/>
    <w:semiHidden/>
    <w:unhideWhenUsed/>
    <w:rsid w:val="003C32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32D6"/>
    <w:rPr>
      <w:rFonts w:ascii="Tahoma" w:hAnsi="Tahoma" w:cs="Tahoma"/>
      <w:sz w:val="16"/>
      <w:szCs w:val="16"/>
    </w:rPr>
  </w:style>
  <w:style w:type="paragraph" w:styleId="Header">
    <w:name w:val="header"/>
    <w:basedOn w:val="Normal"/>
    <w:link w:val="HeaderChar"/>
    <w:uiPriority w:val="99"/>
    <w:unhideWhenUsed/>
    <w:rsid w:val="00C95E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5EE9"/>
  </w:style>
  <w:style w:type="paragraph" w:styleId="Footer">
    <w:name w:val="footer"/>
    <w:basedOn w:val="Normal"/>
    <w:link w:val="FooterChar"/>
    <w:uiPriority w:val="99"/>
    <w:unhideWhenUsed/>
    <w:rsid w:val="00C95E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5EE9"/>
  </w:style>
  <w:style w:type="paragraph" w:styleId="NormalWeb">
    <w:name w:val="Normal (Web)"/>
    <w:basedOn w:val="Normal"/>
    <w:uiPriority w:val="99"/>
    <w:semiHidden/>
    <w:unhideWhenUsed/>
    <w:rsid w:val="00873EE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2A7147"/>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A849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9933F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rsid w:val="005A504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List1">
    <w:name w:val="Medium List 1"/>
    <w:basedOn w:val="TableNormal"/>
    <w:uiPriority w:val="65"/>
    <w:rsid w:val="005A5042"/>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80570">
      <w:bodyDiv w:val="1"/>
      <w:marLeft w:val="0"/>
      <w:marRight w:val="0"/>
      <w:marTop w:val="0"/>
      <w:marBottom w:val="0"/>
      <w:divBdr>
        <w:top w:val="none" w:sz="0" w:space="0" w:color="auto"/>
        <w:left w:val="none" w:sz="0" w:space="0" w:color="auto"/>
        <w:bottom w:val="none" w:sz="0" w:space="0" w:color="auto"/>
        <w:right w:val="none" w:sz="0" w:space="0" w:color="auto"/>
      </w:divBdr>
    </w:div>
    <w:div w:id="83501857">
      <w:bodyDiv w:val="1"/>
      <w:marLeft w:val="0"/>
      <w:marRight w:val="0"/>
      <w:marTop w:val="0"/>
      <w:marBottom w:val="0"/>
      <w:divBdr>
        <w:top w:val="none" w:sz="0" w:space="0" w:color="auto"/>
        <w:left w:val="none" w:sz="0" w:space="0" w:color="auto"/>
        <w:bottom w:val="none" w:sz="0" w:space="0" w:color="auto"/>
        <w:right w:val="none" w:sz="0" w:space="0" w:color="auto"/>
      </w:divBdr>
    </w:div>
    <w:div w:id="155265743">
      <w:bodyDiv w:val="1"/>
      <w:marLeft w:val="0"/>
      <w:marRight w:val="0"/>
      <w:marTop w:val="0"/>
      <w:marBottom w:val="0"/>
      <w:divBdr>
        <w:top w:val="none" w:sz="0" w:space="0" w:color="auto"/>
        <w:left w:val="none" w:sz="0" w:space="0" w:color="auto"/>
        <w:bottom w:val="none" w:sz="0" w:space="0" w:color="auto"/>
        <w:right w:val="none" w:sz="0" w:space="0" w:color="auto"/>
      </w:divBdr>
    </w:div>
    <w:div w:id="196161559">
      <w:bodyDiv w:val="1"/>
      <w:marLeft w:val="0"/>
      <w:marRight w:val="0"/>
      <w:marTop w:val="0"/>
      <w:marBottom w:val="0"/>
      <w:divBdr>
        <w:top w:val="none" w:sz="0" w:space="0" w:color="auto"/>
        <w:left w:val="none" w:sz="0" w:space="0" w:color="auto"/>
        <w:bottom w:val="none" w:sz="0" w:space="0" w:color="auto"/>
        <w:right w:val="none" w:sz="0" w:space="0" w:color="auto"/>
      </w:divBdr>
    </w:div>
    <w:div w:id="277031072">
      <w:bodyDiv w:val="1"/>
      <w:marLeft w:val="0"/>
      <w:marRight w:val="0"/>
      <w:marTop w:val="0"/>
      <w:marBottom w:val="0"/>
      <w:divBdr>
        <w:top w:val="none" w:sz="0" w:space="0" w:color="auto"/>
        <w:left w:val="none" w:sz="0" w:space="0" w:color="auto"/>
        <w:bottom w:val="none" w:sz="0" w:space="0" w:color="auto"/>
        <w:right w:val="none" w:sz="0" w:space="0" w:color="auto"/>
      </w:divBdr>
    </w:div>
    <w:div w:id="312488578">
      <w:bodyDiv w:val="1"/>
      <w:marLeft w:val="0"/>
      <w:marRight w:val="0"/>
      <w:marTop w:val="0"/>
      <w:marBottom w:val="0"/>
      <w:divBdr>
        <w:top w:val="none" w:sz="0" w:space="0" w:color="auto"/>
        <w:left w:val="none" w:sz="0" w:space="0" w:color="auto"/>
        <w:bottom w:val="none" w:sz="0" w:space="0" w:color="auto"/>
        <w:right w:val="none" w:sz="0" w:space="0" w:color="auto"/>
      </w:divBdr>
    </w:div>
    <w:div w:id="316300917">
      <w:bodyDiv w:val="1"/>
      <w:marLeft w:val="0"/>
      <w:marRight w:val="0"/>
      <w:marTop w:val="0"/>
      <w:marBottom w:val="0"/>
      <w:divBdr>
        <w:top w:val="none" w:sz="0" w:space="0" w:color="auto"/>
        <w:left w:val="none" w:sz="0" w:space="0" w:color="auto"/>
        <w:bottom w:val="none" w:sz="0" w:space="0" w:color="auto"/>
        <w:right w:val="none" w:sz="0" w:space="0" w:color="auto"/>
      </w:divBdr>
    </w:div>
    <w:div w:id="338850317">
      <w:bodyDiv w:val="1"/>
      <w:marLeft w:val="0"/>
      <w:marRight w:val="0"/>
      <w:marTop w:val="0"/>
      <w:marBottom w:val="0"/>
      <w:divBdr>
        <w:top w:val="none" w:sz="0" w:space="0" w:color="auto"/>
        <w:left w:val="none" w:sz="0" w:space="0" w:color="auto"/>
        <w:bottom w:val="none" w:sz="0" w:space="0" w:color="auto"/>
        <w:right w:val="none" w:sz="0" w:space="0" w:color="auto"/>
      </w:divBdr>
    </w:div>
    <w:div w:id="460533494">
      <w:bodyDiv w:val="1"/>
      <w:marLeft w:val="0"/>
      <w:marRight w:val="0"/>
      <w:marTop w:val="0"/>
      <w:marBottom w:val="0"/>
      <w:divBdr>
        <w:top w:val="none" w:sz="0" w:space="0" w:color="auto"/>
        <w:left w:val="none" w:sz="0" w:space="0" w:color="auto"/>
        <w:bottom w:val="none" w:sz="0" w:space="0" w:color="auto"/>
        <w:right w:val="none" w:sz="0" w:space="0" w:color="auto"/>
      </w:divBdr>
    </w:div>
    <w:div w:id="482820952">
      <w:bodyDiv w:val="1"/>
      <w:marLeft w:val="0"/>
      <w:marRight w:val="0"/>
      <w:marTop w:val="0"/>
      <w:marBottom w:val="0"/>
      <w:divBdr>
        <w:top w:val="none" w:sz="0" w:space="0" w:color="auto"/>
        <w:left w:val="none" w:sz="0" w:space="0" w:color="auto"/>
        <w:bottom w:val="none" w:sz="0" w:space="0" w:color="auto"/>
        <w:right w:val="none" w:sz="0" w:space="0" w:color="auto"/>
      </w:divBdr>
    </w:div>
    <w:div w:id="544409387">
      <w:bodyDiv w:val="1"/>
      <w:marLeft w:val="0"/>
      <w:marRight w:val="0"/>
      <w:marTop w:val="0"/>
      <w:marBottom w:val="0"/>
      <w:divBdr>
        <w:top w:val="none" w:sz="0" w:space="0" w:color="auto"/>
        <w:left w:val="none" w:sz="0" w:space="0" w:color="auto"/>
        <w:bottom w:val="none" w:sz="0" w:space="0" w:color="auto"/>
        <w:right w:val="none" w:sz="0" w:space="0" w:color="auto"/>
      </w:divBdr>
    </w:div>
    <w:div w:id="655887098">
      <w:bodyDiv w:val="1"/>
      <w:marLeft w:val="0"/>
      <w:marRight w:val="0"/>
      <w:marTop w:val="0"/>
      <w:marBottom w:val="0"/>
      <w:divBdr>
        <w:top w:val="none" w:sz="0" w:space="0" w:color="auto"/>
        <w:left w:val="none" w:sz="0" w:space="0" w:color="auto"/>
        <w:bottom w:val="none" w:sz="0" w:space="0" w:color="auto"/>
        <w:right w:val="none" w:sz="0" w:space="0" w:color="auto"/>
      </w:divBdr>
      <w:divsChild>
        <w:div w:id="511456130">
          <w:marLeft w:val="0"/>
          <w:marRight w:val="0"/>
          <w:marTop w:val="0"/>
          <w:marBottom w:val="0"/>
          <w:divBdr>
            <w:top w:val="none" w:sz="0" w:space="0" w:color="auto"/>
            <w:left w:val="none" w:sz="0" w:space="0" w:color="auto"/>
            <w:bottom w:val="none" w:sz="0" w:space="0" w:color="auto"/>
            <w:right w:val="none" w:sz="0" w:space="0" w:color="auto"/>
          </w:divBdr>
          <w:divsChild>
            <w:div w:id="1519271858">
              <w:marLeft w:val="0"/>
              <w:marRight w:val="0"/>
              <w:marTop w:val="0"/>
              <w:marBottom w:val="0"/>
              <w:divBdr>
                <w:top w:val="none" w:sz="0" w:space="0" w:color="auto"/>
                <w:left w:val="none" w:sz="0" w:space="0" w:color="auto"/>
                <w:bottom w:val="none" w:sz="0" w:space="0" w:color="auto"/>
                <w:right w:val="none" w:sz="0" w:space="0" w:color="auto"/>
              </w:divBdr>
              <w:divsChild>
                <w:div w:id="1100300178">
                  <w:marLeft w:val="0"/>
                  <w:marRight w:val="0"/>
                  <w:marTop w:val="0"/>
                  <w:marBottom w:val="0"/>
                  <w:divBdr>
                    <w:top w:val="none" w:sz="0" w:space="0" w:color="auto"/>
                    <w:left w:val="none" w:sz="0" w:space="0" w:color="auto"/>
                    <w:bottom w:val="none" w:sz="0" w:space="0" w:color="auto"/>
                    <w:right w:val="none" w:sz="0" w:space="0" w:color="auto"/>
                  </w:divBdr>
                  <w:divsChild>
                    <w:div w:id="72984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693532">
      <w:bodyDiv w:val="1"/>
      <w:marLeft w:val="0"/>
      <w:marRight w:val="0"/>
      <w:marTop w:val="0"/>
      <w:marBottom w:val="0"/>
      <w:divBdr>
        <w:top w:val="none" w:sz="0" w:space="0" w:color="auto"/>
        <w:left w:val="none" w:sz="0" w:space="0" w:color="auto"/>
        <w:bottom w:val="none" w:sz="0" w:space="0" w:color="auto"/>
        <w:right w:val="none" w:sz="0" w:space="0" w:color="auto"/>
      </w:divBdr>
    </w:div>
    <w:div w:id="734163303">
      <w:bodyDiv w:val="1"/>
      <w:marLeft w:val="0"/>
      <w:marRight w:val="0"/>
      <w:marTop w:val="0"/>
      <w:marBottom w:val="0"/>
      <w:divBdr>
        <w:top w:val="none" w:sz="0" w:space="0" w:color="auto"/>
        <w:left w:val="none" w:sz="0" w:space="0" w:color="auto"/>
        <w:bottom w:val="none" w:sz="0" w:space="0" w:color="auto"/>
        <w:right w:val="none" w:sz="0" w:space="0" w:color="auto"/>
      </w:divBdr>
    </w:div>
    <w:div w:id="757092501">
      <w:bodyDiv w:val="1"/>
      <w:marLeft w:val="0"/>
      <w:marRight w:val="0"/>
      <w:marTop w:val="0"/>
      <w:marBottom w:val="0"/>
      <w:divBdr>
        <w:top w:val="none" w:sz="0" w:space="0" w:color="auto"/>
        <w:left w:val="none" w:sz="0" w:space="0" w:color="auto"/>
        <w:bottom w:val="none" w:sz="0" w:space="0" w:color="auto"/>
        <w:right w:val="none" w:sz="0" w:space="0" w:color="auto"/>
      </w:divBdr>
    </w:div>
    <w:div w:id="774012504">
      <w:bodyDiv w:val="1"/>
      <w:marLeft w:val="0"/>
      <w:marRight w:val="0"/>
      <w:marTop w:val="0"/>
      <w:marBottom w:val="0"/>
      <w:divBdr>
        <w:top w:val="none" w:sz="0" w:space="0" w:color="auto"/>
        <w:left w:val="none" w:sz="0" w:space="0" w:color="auto"/>
        <w:bottom w:val="none" w:sz="0" w:space="0" w:color="auto"/>
        <w:right w:val="none" w:sz="0" w:space="0" w:color="auto"/>
      </w:divBdr>
    </w:div>
    <w:div w:id="813454212">
      <w:bodyDiv w:val="1"/>
      <w:marLeft w:val="0"/>
      <w:marRight w:val="0"/>
      <w:marTop w:val="0"/>
      <w:marBottom w:val="0"/>
      <w:divBdr>
        <w:top w:val="none" w:sz="0" w:space="0" w:color="auto"/>
        <w:left w:val="none" w:sz="0" w:space="0" w:color="auto"/>
        <w:bottom w:val="none" w:sz="0" w:space="0" w:color="auto"/>
        <w:right w:val="none" w:sz="0" w:space="0" w:color="auto"/>
      </w:divBdr>
    </w:div>
    <w:div w:id="843978490">
      <w:bodyDiv w:val="1"/>
      <w:marLeft w:val="0"/>
      <w:marRight w:val="0"/>
      <w:marTop w:val="0"/>
      <w:marBottom w:val="0"/>
      <w:divBdr>
        <w:top w:val="none" w:sz="0" w:space="0" w:color="auto"/>
        <w:left w:val="none" w:sz="0" w:space="0" w:color="auto"/>
        <w:bottom w:val="none" w:sz="0" w:space="0" w:color="auto"/>
        <w:right w:val="none" w:sz="0" w:space="0" w:color="auto"/>
      </w:divBdr>
    </w:div>
    <w:div w:id="848567480">
      <w:bodyDiv w:val="1"/>
      <w:marLeft w:val="0"/>
      <w:marRight w:val="0"/>
      <w:marTop w:val="0"/>
      <w:marBottom w:val="0"/>
      <w:divBdr>
        <w:top w:val="none" w:sz="0" w:space="0" w:color="auto"/>
        <w:left w:val="none" w:sz="0" w:space="0" w:color="auto"/>
        <w:bottom w:val="none" w:sz="0" w:space="0" w:color="auto"/>
        <w:right w:val="none" w:sz="0" w:space="0" w:color="auto"/>
      </w:divBdr>
    </w:div>
    <w:div w:id="862279517">
      <w:bodyDiv w:val="1"/>
      <w:marLeft w:val="0"/>
      <w:marRight w:val="0"/>
      <w:marTop w:val="0"/>
      <w:marBottom w:val="0"/>
      <w:divBdr>
        <w:top w:val="none" w:sz="0" w:space="0" w:color="auto"/>
        <w:left w:val="none" w:sz="0" w:space="0" w:color="auto"/>
        <w:bottom w:val="none" w:sz="0" w:space="0" w:color="auto"/>
        <w:right w:val="none" w:sz="0" w:space="0" w:color="auto"/>
      </w:divBdr>
    </w:div>
    <w:div w:id="969016488">
      <w:bodyDiv w:val="1"/>
      <w:marLeft w:val="0"/>
      <w:marRight w:val="0"/>
      <w:marTop w:val="0"/>
      <w:marBottom w:val="0"/>
      <w:divBdr>
        <w:top w:val="none" w:sz="0" w:space="0" w:color="auto"/>
        <w:left w:val="none" w:sz="0" w:space="0" w:color="auto"/>
        <w:bottom w:val="none" w:sz="0" w:space="0" w:color="auto"/>
        <w:right w:val="none" w:sz="0" w:space="0" w:color="auto"/>
      </w:divBdr>
    </w:div>
    <w:div w:id="1059136733">
      <w:bodyDiv w:val="1"/>
      <w:marLeft w:val="0"/>
      <w:marRight w:val="0"/>
      <w:marTop w:val="0"/>
      <w:marBottom w:val="0"/>
      <w:divBdr>
        <w:top w:val="none" w:sz="0" w:space="0" w:color="auto"/>
        <w:left w:val="none" w:sz="0" w:space="0" w:color="auto"/>
        <w:bottom w:val="none" w:sz="0" w:space="0" w:color="auto"/>
        <w:right w:val="none" w:sz="0" w:space="0" w:color="auto"/>
      </w:divBdr>
    </w:div>
    <w:div w:id="1136684494">
      <w:bodyDiv w:val="1"/>
      <w:marLeft w:val="0"/>
      <w:marRight w:val="0"/>
      <w:marTop w:val="0"/>
      <w:marBottom w:val="0"/>
      <w:divBdr>
        <w:top w:val="none" w:sz="0" w:space="0" w:color="auto"/>
        <w:left w:val="none" w:sz="0" w:space="0" w:color="auto"/>
        <w:bottom w:val="none" w:sz="0" w:space="0" w:color="auto"/>
        <w:right w:val="none" w:sz="0" w:space="0" w:color="auto"/>
      </w:divBdr>
    </w:div>
    <w:div w:id="1141002570">
      <w:bodyDiv w:val="1"/>
      <w:marLeft w:val="0"/>
      <w:marRight w:val="0"/>
      <w:marTop w:val="0"/>
      <w:marBottom w:val="0"/>
      <w:divBdr>
        <w:top w:val="none" w:sz="0" w:space="0" w:color="auto"/>
        <w:left w:val="none" w:sz="0" w:space="0" w:color="auto"/>
        <w:bottom w:val="none" w:sz="0" w:space="0" w:color="auto"/>
        <w:right w:val="none" w:sz="0" w:space="0" w:color="auto"/>
      </w:divBdr>
    </w:div>
    <w:div w:id="1165239443">
      <w:bodyDiv w:val="1"/>
      <w:marLeft w:val="0"/>
      <w:marRight w:val="0"/>
      <w:marTop w:val="0"/>
      <w:marBottom w:val="0"/>
      <w:divBdr>
        <w:top w:val="none" w:sz="0" w:space="0" w:color="auto"/>
        <w:left w:val="none" w:sz="0" w:space="0" w:color="auto"/>
        <w:bottom w:val="none" w:sz="0" w:space="0" w:color="auto"/>
        <w:right w:val="none" w:sz="0" w:space="0" w:color="auto"/>
      </w:divBdr>
    </w:div>
    <w:div w:id="1184977269">
      <w:bodyDiv w:val="1"/>
      <w:marLeft w:val="0"/>
      <w:marRight w:val="0"/>
      <w:marTop w:val="0"/>
      <w:marBottom w:val="0"/>
      <w:divBdr>
        <w:top w:val="none" w:sz="0" w:space="0" w:color="auto"/>
        <w:left w:val="none" w:sz="0" w:space="0" w:color="auto"/>
        <w:bottom w:val="none" w:sz="0" w:space="0" w:color="auto"/>
        <w:right w:val="none" w:sz="0" w:space="0" w:color="auto"/>
      </w:divBdr>
    </w:div>
    <w:div w:id="1199389435">
      <w:bodyDiv w:val="1"/>
      <w:marLeft w:val="0"/>
      <w:marRight w:val="0"/>
      <w:marTop w:val="0"/>
      <w:marBottom w:val="0"/>
      <w:divBdr>
        <w:top w:val="none" w:sz="0" w:space="0" w:color="auto"/>
        <w:left w:val="none" w:sz="0" w:space="0" w:color="auto"/>
        <w:bottom w:val="none" w:sz="0" w:space="0" w:color="auto"/>
        <w:right w:val="none" w:sz="0" w:space="0" w:color="auto"/>
      </w:divBdr>
    </w:div>
    <w:div w:id="1227686652">
      <w:bodyDiv w:val="1"/>
      <w:marLeft w:val="0"/>
      <w:marRight w:val="0"/>
      <w:marTop w:val="0"/>
      <w:marBottom w:val="0"/>
      <w:divBdr>
        <w:top w:val="none" w:sz="0" w:space="0" w:color="auto"/>
        <w:left w:val="none" w:sz="0" w:space="0" w:color="auto"/>
        <w:bottom w:val="none" w:sz="0" w:space="0" w:color="auto"/>
        <w:right w:val="none" w:sz="0" w:space="0" w:color="auto"/>
      </w:divBdr>
    </w:div>
    <w:div w:id="1233932175">
      <w:bodyDiv w:val="1"/>
      <w:marLeft w:val="0"/>
      <w:marRight w:val="0"/>
      <w:marTop w:val="0"/>
      <w:marBottom w:val="0"/>
      <w:divBdr>
        <w:top w:val="none" w:sz="0" w:space="0" w:color="auto"/>
        <w:left w:val="none" w:sz="0" w:space="0" w:color="auto"/>
        <w:bottom w:val="none" w:sz="0" w:space="0" w:color="auto"/>
        <w:right w:val="none" w:sz="0" w:space="0" w:color="auto"/>
      </w:divBdr>
    </w:div>
    <w:div w:id="1259947825">
      <w:bodyDiv w:val="1"/>
      <w:marLeft w:val="0"/>
      <w:marRight w:val="0"/>
      <w:marTop w:val="0"/>
      <w:marBottom w:val="0"/>
      <w:divBdr>
        <w:top w:val="none" w:sz="0" w:space="0" w:color="auto"/>
        <w:left w:val="none" w:sz="0" w:space="0" w:color="auto"/>
        <w:bottom w:val="none" w:sz="0" w:space="0" w:color="auto"/>
        <w:right w:val="none" w:sz="0" w:space="0" w:color="auto"/>
      </w:divBdr>
    </w:div>
    <w:div w:id="1354070403">
      <w:bodyDiv w:val="1"/>
      <w:marLeft w:val="0"/>
      <w:marRight w:val="0"/>
      <w:marTop w:val="0"/>
      <w:marBottom w:val="0"/>
      <w:divBdr>
        <w:top w:val="none" w:sz="0" w:space="0" w:color="auto"/>
        <w:left w:val="none" w:sz="0" w:space="0" w:color="auto"/>
        <w:bottom w:val="none" w:sz="0" w:space="0" w:color="auto"/>
        <w:right w:val="none" w:sz="0" w:space="0" w:color="auto"/>
      </w:divBdr>
    </w:div>
    <w:div w:id="1359506350">
      <w:bodyDiv w:val="1"/>
      <w:marLeft w:val="0"/>
      <w:marRight w:val="0"/>
      <w:marTop w:val="0"/>
      <w:marBottom w:val="0"/>
      <w:divBdr>
        <w:top w:val="none" w:sz="0" w:space="0" w:color="auto"/>
        <w:left w:val="none" w:sz="0" w:space="0" w:color="auto"/>
        <w:bottom w:val="none" w:sz="0" w:space="0" w:color="auto"/>
        <w:right w:val="none" w:sz="0" w:space="0" w:color="auto"/>
      </w:divBdr>
    </w:div>
    <w:div w:id="1447500252">
      <w:bodyDiv w:val="1"/>
      <w:marLeft w:val="0"/>
      <w:marRight w:val="0"/>
      <w:marTop w:val="0"/>
      <w:marBottom w:val="0"/>
      <w:divBdr>
        <w:top w:val="none" w:sz="0" w:space="0" w:color="auto"/>
        <w:left w:val="none" w:sz="0" w:space="0" w:color="auto"/>
        <w:bottom w:val="none" w:sz="0" w:space="0" w:color="auto"/>
        <w:right w:val="none" w:sz="0" w:space="0" w:color="auto"/>
      </w:divBdr>
    </w:div>
    <w:div w:id="1476216658">
      <w:bodyDiv w:val="1"/>
      <w:marLeft w:val="0"/>
      <w:marRight w:val="0"/>
      <w:marTop w:val="0"/>
      <w:marBottom w:val="0"/>
      <w:divBdr>
        <w:top w:val="none" w:sz="0" w:space="0" w:color="auto"/>
        <w:left w:val="none" w:sz="0" w:space="0" w:color="auto"/>
        <w:bottom w:val="none" w:sz="0" w:space="0" w:color="auto"/>
        <w:right w:val="none" w:sz="0" w:space="0" w:color="auto"/>
      </w:divBdr>
    </w:div>
    <w:div w:id="1484350792">
      <w:bodyDiv w:val="1"/>
      <w:marLeft w:val="0"/>
      <w:marRight w:val="0"/>
      <w:marTop w:val="0"/>
      <w:marBottom w:val="0"/>
      <w:divBdr>
        <w:top w:val="none" w:sz="0" w:space="0" w:color="auto"/>
        <w:left w:val="none" w:sz="0" w:space="0" w:color="auto"/>
        <w:bottom w:val="none" w:sz="0" w:space="0" w:color="auto"/>
        <w:right w:val="none" w:sz="0" w:space="0" w:color="auto"/>
      </w:divBdr>
    </w:div>
    <w:div w:id="1496384514">
      <w:bodyDiv w:val="1"/>
      <w:marLeft w:val="0"/>
      <w:marRight w:val="0"/>
      <w:marTop w:val="0"/>
      <w:marBottom w:val="0"/>
      <w:divBdr>
        <w:top w:val="none" w:sz="0" w:space="0" w:color="auto"/>
        <w:left w:val="none" w:sz="0" w:space="0" w:color="auto"/>
        <w:bottom w:val="none" w:sz="0" w:space="0" w:color="auto"/>
        <w:right w:val="none" w:sz="0" w:space="0" w:color="auto"/>
      </w:divBdr>
    </w:div>
    <w:div w:id="1519812115">
      <w:bodyDiv w:val="1"/>
      <w:marLeft w:val="0"/>
      <w:marRight w:val="0"/>
      <w:marTop w:val="0"/>
      <w:marBottom w:val="0"/>
      <w:divBdr>
        <w:top w:val="none" w:sz="0" w:space="0" w:color="auto"/>
        <w:left w:val="none" w:sz="0" w:space="0" w:color="auto"/>
        <w:bottom w:val="none" w:sz="0" w:space="0" w:color="auto"/>
        <w:right w:val="none" w:sz="0" w:space="0" w:color="auto"/>
      </w:divBdr>
    </w:div>
    <w:div w:id="1530141127">
      <w:bodyDiv w:val="1"/>
      <w:marLeft w:val="0"/>
      <w:marRight w:val="0"/>
      <w:marTop w:val="0"/>
      <w:marBottom w:val="0"/>
      <w:divBdr>
        <w:top w:val="none" w:sz="0" w:space="0" w:color="auto"/>
        <w:left w:val="none" w:sz="0" w:space="0" w:color="auto"/>
        <w:bottom w:val="none" w:sz="0" w:space="0" w:color="auto"/>
        <w:right w:val="none" w:sz="0" w:space="0" w:color="auto"/>
      </w:divBdr>
    </w:div>
    <w:div w:id="1531064730">
      <w:bodyDiv w:val="1"/>
      <w:marLeft w:val="0"/>
      <w:marRight w:val="0"/>
      <w:marTop w:val="0"/>
      <w:marBottom w:val="0"/>
      <w:divBdr>
        <w:top w:val="none" w:sz="0" w:space="0" w:color="auto"/>
        <w:left w:val="none" w:sz="0" w:space="0" w:color="auto"/>
        <w:bottom w:val="none" w:sz="0" w:space="0" w:color="auto"/>
        <w:right w:val="none" w:sz="0" w:space="0" w:color="auto"/>
      </w:divBdr>
    </w:div>
    <w:div w:id="1539467726">
      <w:bodyDiv w:val="1"/>
      <w:marLeft w:val="0"/>
      <w:marRight w:val="0"/>
      <w:marTop w:val="0"/>
      <w:marBottom w:val="0"/>
      <w:divBdr>
        <w:top w:val="none" w:sz="0" w:space="0" w:color="auto"/>
        <w:left w:val="none" w:sz="0" w:space="0" w:color="auto"/>
        <w:bottom w:val="none" w:sz="0" w:space="0" w:color="auto"/>
        <w:right w:val="none" w:sz="0" w:space="0" w:color="auto"/>
      </w:divBdr>
    </w:div>
    <w:div w:id="1595746359">
      <w:bodyDiv w:val="1"/>
      <w:marLeft w:val="0"/>
      <w:marRight w:val="0"/>
      <w:marTop w:val="0"/>
      <w:marBottom w:val="0"/>
      <w:divBdr>
        <w:top w:val="none" w:sz="0" w:space="0" w:color="auto"/>
        <w:left w:val="none" w:sz="0" w:space="0" w:color="auto"/>
        <w:bottom w:val="none" w:sz="0" w:space="0" w:color="auto"/>
        <w:right w:val="none" w:sz="0" w:space="0" w:color="auto"/>
      </w:divBdr>
    </w:div>
    <w:div w:id="1622030814">
      <w:bodyDiv w:val="1"/>
      <w:marLeft w:val="0"/>
      <w:marRight w:val="0"/>
      <w:marTop w:val="0"/>
      <w:marBottom w:val="0"/>
      <w:divBdr>
        <w:top w:val="none" w:sz="0" w:space="0" w:color="auto"/>
        <w:left w:val="none" w:sz="0" w:space="0" w:color="auto"/>
        <w:bottom w:val="none" w:sz="0" w:space="0" w:color="auto"/>
        <w:right w:val="none" w:sz="0" w:space="0" w:color="auto"/>
      </w:divBdr>
    </w:div>
    <w:div w:id="1633826602">
      <w:bodyDiv w:val="1"/>
      <w:marLeft w:val="0"/>
      <w:marRight w:val="0"/>
      <w:marTop w:val="0"/>
      <w:marBottom w:val="0"/>
      <w:divBdr>
        <w:top w:val="none" w:sz="0" w:space="0" w:color="auto"/>
        <w:left w:val="none" w:sz="0" w:space="0" w:color="auto"/>
        <w:bottom w:val="none" w:sz="0" w:space="0" w:color="auto"/>
        <w:right w:val="none" w:sz="0" w:space="0" w:color="auto"/>
      </w:divBdr>
    </w:div>
    <w:div w:id="1784349875">
      <w:bodyDiv w:val="1"/>
      <w:marLeft w:val="0"/>
      <w:marRight w:val="0"/>
      <w:marTop w:val="0"/>
      <w:marBottom w:val="0"/>
      <w:divBdr>
        <w:top w:val="none" w:sz="0" w:space="0" w:color="auto"/>
        <w:left w:val="none" w:sz="0" w:space="0" w:color="auto"/>
        <w:bottom w:val="none" w:sz="0" w:space="0" w:color="auto"/>
        <w:right w:val="none" w:sz="0" w:space="0" w:color="auto"/>
      </w:divBdr>
    </w:div>
    <w:div w:id="1786121859">
      <w:bodyDiv w:val="1"/>
      <w:marLeft w:val="0"/>
      <w:marRight w:val="0"/>
      <w:marTop w:val="0"/>
      <w:marBottom w:val="0"/>
      <w:divBdr>
        <w:top w:val="none" w:sz="0" w:space="0" w:color="auto"/>
        <w:left w:val="none" w:sz="0" w:space="0" w:color="auto"/>
        <w:bottom w:val="none" w:sz="0" w:space="0" w:color="auto"/>
        <w:right w:val="none" w:sz="0" w:space="0" w:color="auto"/>
      </w:divBdr>
    </w:div>
    <w:div w:id="1931624145">
      <w:bodyDiv w:val="1"/>
      <w:marLeft w:val="0"/>
      <w:marRight w:val="0"/>
      <w:marTop w:val="0"/>
      <w:marBottom w:val="0"/>
      <w:divBdr>
        <w:top w:val="none" w:sz="0" w:space="0" w:color="auto"/>
        <w:left w:val="none" w:sz="0" w:space="0" w:color="auto"/>
        <w:bottom w:val="none" w:sz="0" w:space="0" w:color="auto"/>
        <w:right w:val="none" w:sz="0" w:space="0" w:color="auto"/>
      </w:divBdr>
    </w:div>
    <w:div w:id="1994482055">
      <w:bodyDiv w:val="1"/>
      <w:marLeft w:val="0"/>
      <w:marRight w:val="0"/>
      <w:marTop w:val="0"/>
      <w:marBottom w:val="0"/>
      <w:divBdr>
        <w:top w:val="none" w:sz="0" w:space="0" w:color="auto"/>
        <w:left w:val="none" w:sz="0" w:space="0" w:color="auto"/>
        <w:bottom w:val="none" w:sz="0" w:space="0" w:color="auto"/>
        <w:right w:val="none" w:sz="0" w:space="0" w:color="auto"/>
      </w:divBdr>
    </w:div>
    <w:div w:id="2029133213">
      <w:bodyDiv w:val="1"/>
      <w:marLeft w:val="0"/>
      <w:marRight w:val="0"/>
      <w:marTop w:val="0"/>
      <w:marBottom w:val="0"/>
      <w:divBdr>
        <w:top w:val="none" w:sz="0" w:space="0" w:color="auto"/>
        <w:left w:val="none" w:sz="0" w:space="0" w:color="auto"/>
        <w:bottom w:val="none" w:sz="0" w:space="0" w:color="auto"/>
        <w:right w:val="none" w:sz="0" w:space="0" w:color="auto"/>
      </w:divBdr>
    </w:div>
    <w:div w:id="2038694280">
      <w:bodyDiv w:val="1"/>
      <w:marLeft w:val="0"/>
      <w:marRight w:val="0"/>
      <w:marTop w:val="0"/>
      <w:marBottom w:val="0"/>
      <w:divBdr>
        <w:top w:val="none" w:sz="0" w:space="0" w:color="auto"/>
        <w:left w:val="none" w:sz="0" w:space="0" w:color="auto"/>
        <w:bottom w:val="none" w:sz="0" w:space="0" w:color="auto"/>
        <w:right w:val="none" w:sz="0" w:space="0" w:color="auto"/>
      </w:divBdr>
    </w:div>
    <w:div w:id="2039038936">
      <w:bodyDiv w:val="1"/>
      <w:marLeft w:val="0"/>
      <w:marRight w:val="0"/>
      <w:marTop w:val="0"/>
      <w:marBottom w:val="0"/>
      <w:divBdr>
        <w:top w:val="none" w:sz="0" w:space="0" w:color="auto"/>
        <w:left w:val="none" w:sz="0" w:space="0" w:color="auto"/>
        <w:bottom w:val="none" w:sz="0" w:space="0" w:color="auto"/>
        <w:right w:val="none" w:sz="0" w:space="0" w:color="auto"/>
      </w:divBdr>
    </w:div>
    <w:div w:id="2078631301">
      <w:bodyDiv w:val="1"/>
      <w:marLeft w:val="0"/>
      <w:marRight w:val="0"/>
      <w:marTop w:val="0"/>
      <w:marBottom w:val="0"/>
      <w:divBdr>
        <w:top w:val="none" w:sz="0" w:space="0" w:color="auto"/>
        <w:left w:val="none" w:sz="0" w:space="0" w:color="auto"/>
        <w:bottom w:val="none" w:sz="0" w:space="0" w:color="auto"/>
        <w:right w:val="none" w:sz="0" w:space="0" w:color="auto"/>
      </w:divBdr>
    </w:div>
    <w:div w:id="211065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cha.europa.eu" TargetMode="External"/><Relationship Id="rId18" Type="http://schemas.openxmlformats.org/officeDocument/2006/relationships/hyperlink" Target="http://chem.sis.nlm.nih.gov/chemidplu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coe.int/t/e/social_cohesion/soc-sp/public_health/food_contact/PS%20PAPER%20AND%20BOARD%20Version%204%20E.pdf" TargetMode="External"/><Relationship Id="rId17" Type="http://schemas.openxmlformats.org/officeDocument/2006/relationships/hyperlink" Target="http://ec.europa.eu/food/safety/rasff/portal/index_en.htm" TargetMode="External"/><Relationship Id="rId2" Type="http://schemas.openxmlformats.org/officeDocument/2006/relationships/numbering" Target="numbering.xml"/><Relationship Id="rId16" Type="http://schemas.openxmlformats.org/officeDocument/2006/relationships/hyperlink" Target="http://www.eupia.org/uploads/tx_edm/130219_corr3_EuPIA_Suitability_List_of_Photoinitiators_for_Low_migration_UV_Printing_Inks_and_Varnishes.pdf" TargetMode="External"/><Relationship Id="rId20" Type="http://schemas.openxmlformats.org/officeDocument/2006/relationships/hyperlink" Target="https://www.admin.ch/opc/fr/classified-compilation/20050179/201304010000/817.023.21.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epi.org/system/files/public/documents/publications/foodcontact/2012/Industry%20guideline-updated2012final.pdf" TargetMode="External"/><Relationship Id="rId5" Type="http://schemas.openxmlformats.org/officeDocument/2006/relationships/settings" Target="settings.xml"/><Relationship Id="rId15" Type="http://schemas.openxmlformats.org/officeDocument/2006/relationships/hyperlink" Target="http://www.efsa.europa.eu/en/topics/topic/foodcontactmaterials" TargetMode="External"/><Relationship Id="rId10" Type="http://schemas.openxmlformats.org/officeDocument/2006/relationships/hyperlink" Target="http://expofacts.jrc.ec.europa.eu/facet/login.php" TargetMode="External"/><Relationship Id="rId19" Type="http://schemas.openxmlformats.org/officeDocument/2006/relationships/hyperlink" Target="http://www.chemspider.com"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efsa.europa.eu/sites/default/files/scientific_output/files/main_documents/139eax1.xl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78B985-D8A5-46D4-9357-A438B648D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30</Pages>
  <Words>7713</Words>
  <Characters>43965</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WIV-ISP</Company>
  <LinksUpToDate>false</LinksUpToDate>
  <CharactersWithSpaces>51575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Bossuyt, Melissa</dc:creator>
  <cp:lastModifiedBy>Van Bossuyt, Melissa</cp:lastModifiedBy>
  <cp:revision>7</cp:revision>
  <cp:lastPrinted>2016-06-16T07:42:00Z</cp:lastPrinted>
  <dcterms:created xsi:type="dcterms:W3CDTF">2016-06-18T14:16:00Z</dcterms:created>
  <dcterms:modified xsi:type="dcterms:W3CDTF">2016-06-18T15:23:00Z</dcterms:modified>
</cp:coreProperties>
</file>